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184150</wp:posOffset>
            </wp:positionV>
            <wp:extent cx="7200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10, 2025</w:t>
      </w:r>
    </w:p>
    <w:p>
      <w:pPr>
        <w:spacing w:after="0" w:line="19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AngioDynamics,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080"/>
          </w:cols>
          <w:pgMar w:left="320" w:top="516" w:right="499" w:bottom="1440" w:gutter="0" w:footer="0" w:header="0"/>
        </w:sectPr>
      </w:pPr>
    </w:p>
    <w:p>
      <w:pPr>
        <w:spacing w:after="0" w:line="20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000-50761</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11-3146460</w:t>
      </w:r>
    </w:p>
    <w:p>
      <w:pPr>
        <w:spacing w:after="0" w:line="200" w:lineRule="exact"/>
        <w:rPr>
          <w:sz w:val="24"/>
          <w:szCs w:val="24"/>
          <w:color w:val="auto"/>
        </w:rPr>
      </w:pPr>
    </w:p>
    <w:p>
      <w:pPr>
        <w:sectPr>
          <w:pgSz w:w="11900" w:h="16838" w:orient="portrait"/>
          <w:cols w:equalWidth="0" w:num="3">
            <w:col w:w="4540" w:space="720"/>
            <w:col w:w="2980" w:space="720"/>
            <w:col w:w="2120"/>
          </w:cols>
          <w:pgMar w:left="320" w:top="516" w:right="499" w:bottom="1440" w:gutter="0" w:footer="0" w:header="0"/>
          <w:type w:val="continuous"/>
        </w:sectPr>
      </w:pPr>
    </w:p>
    <w:p>
      <w:pPr>
        <w:spacing w:after="0" w:line="4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40" w:space="720"/>
            <w:col w:w="2780" w:space="720"/>
            <w:col w:w="2920"/>
          </w:cols>
          <w:pgMar w:left="320" w:top="516" w:right="499" w:bottom="1440" w:gutter="0" w:footer="0" w:header="0"/>
          <w:type w:val="continuous"/>
        </w:sectPr>
      </w:pPr>
    </w:p>
    <w:p>
      <w:pPr>
        <w:spacing w:after="0" w:line="2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14 Plaza Drive, Latham, New York</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12110</w:t>
      </w:r>
    </w:p>
    <w:p>
      <w:pPr>
        <w:spacing w:after="0" w:line="200" w:lineRule="exact"/>
        <w:rPr>
          <w:sz w:val="24"/>
          <w:szCs w:val="24"/>
          <w:color w:val="auto"/>
        </w:rPr>
      </w:pPr>
    </w:p>
    <w:p>
      <w:pPr>
        <w:sectPr>
          <w:pgSz w:w="11900" w:h="16838" w:orient="portrait"/>
          <w:cols w:equalWidth="0" w:num="2">
            <w:col w:w="7560" w:space="720"/>
            <w:col w:w="2800"/>
          </w:cols>
          <w:pgMar w:left="320" w:top="516" w:right="499" w:bottom="1440" w:gutter="0" w:footer="0" w:header="0"/>
          <w:type w:val="continuous"/>
        </w:sectPr>
      </w:pPr>
    </w:p>
    <w:p>
      <w:pPr>
        <w:spacing w:after="0" w:line="4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2980"/>
          </w:cols>
          <w:pgMar w:left="320" w:top="516" w:right="499" w:bottom="1440" w:gutter="0" w:footer="0" w:header="0"/>
          <w:type w:val="continuous"/>
        </w:sectPr>
      </w:pPr>
    </w:p>
    <w:p>
      <w:pPr>
        <w:spacing w:after="0" w:line="2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(518) 795-1400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480" w:firstLine="45"/>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91"/>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of each class</w:t>
            </w:r>
          </w:p>
        </w:tc>
        <w:tc>
          <w:tcPr>
            <w:tcW w:w="2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Trading Symbol(s)</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Name of each exchange on which</w:t>
            </w:r>
          </w:p>
        </w:tc>
      </w:tr>
      <w:tr>
        <w:trPr>
          <w:trHeight w:val="196"/>
        </w:trPr>
        <w:tc>
          <w:tcPr>
            <w:tcW w:w="1300" w:type="dxa"/>
            <w:vAlign w:val="bottom"/>
            <w:tcBorders>
              <w:top w:val="single" w:sz="8" w:color="auto"/>
            </w:tcBorders>
          </w:tcPr>
          <w:p>
            <w:pPr>
              <w:spacing w:after="0"/>
              <w:rPr>
                <w:sz w:val="17"/>
                <w:szCs w:val="17"/>
                <w:color w:val="auto"/>
              </w:rPr>
            </w:pPr>
          </w:p>
        </w:tc>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340" w:type="dxa"/>
            <w:vAlign w:val="bottom"/>
          </w:tcPr>
          <w:p>
            <w:pPr>
              <w:spacing w:after="0"/>
              <w:rPr>
                <w:sz w:val="17"/>
                <w:szCs w:val="17"/>
                <w:color w:val="auto"/>
              </w:rPr>
            </w:pPr>
          </w:p>
        </w:tc>
        <w:tc>
          <w:tcPr>
            <w:tcW w:w="242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registered</w:t>
            </w:r>
          </w:p>
        </w:tc>
      </w:tr>
      <w:tr>
        <w:trPr>
          <w:trHeight w:val="20"/>
        </w:trPr>
        <w:tc>
          <w:tcPr>
            <w:tcW w:w="4540" w:type="dxa"/>
            <w:vAlign w:val="bottom"/>
            <w:gridSpan w:val="2"/>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ANGO</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16" w:right="49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5.07 –</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Annual Meeting of Shareholders of AngioDynamics, Inc. (“AngioDynamics”) was held on November 10, 2025.</w:t>
      </w:r>
    </w:p>
    <w:p>
      <w:pPr>
        <w:spacing w:after="0" w:line="225"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Shareholders of AngioDynamics voted on the matters set forth below.</w:t>
      </w:r>
    </w:p>
    <w:p>
      <w:pPr>
        <w:spacing w:after="0" w:line="221" w:lineRule="exact"/>
        <w:rPr>
          <w:sz w:val="20"/>
          <w:szCs w:val="20"/>
          <w:color w:val="auto"/>
        </w:rPr>
      </w:pPr>
    </w:p>
    <w:p>
      <w:pPr>
        <w:ind w:left="340" w:right="760" w:hanging="332"/>
        <w:spacing w:after="0" w:line="286" w:lineRule="auto"/>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nominees for election to the Board of Directors were elected, each as a Class I director to serve until the 2028 Annual Meeting of Shareholders and until their respective successors are duly elected and qualified, based upon the following votes: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gridSpan w:val="3"/>
          </w:tcPr>
          <w:p>
            <w:pPr>
              <w:ind w:left="168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140" w:type="dxa"/>
            <w:vAlign w:val="bottom"/>
          </w:tcPr>
          <w:p>
            <w:pPr>
              <w:spacing w:after="0"/>
              <w:rPr>
                <w:sz w:val="17"/>
                <w:szCs w:val="17"/>
                <w:color w:val="auto"/>
              </w:rPr>
            </w:pPr>
          </w:p>
        </w:tc>
        <w:tc>
          <w:tcPr>
            <w:tcW w:w="140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60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3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16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6"/>
        </w:trPr>
        <w:tc>
          <w:tcPr>
            <w:tcW w:w="3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 Clemmer</w:t>
            </w:r>
          </w:p>
        </w:tc>
        <w:tc>
          <w:tcPr>
            <w:tcW w:w="2540" w:type="dxa"/>
            <w:vAlign w:val="bottom"/>
            <w:gridSpan w:val="3"/>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8"/>
              </w:rPr>
              <w:t>29,634,152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800,454</w:t>
            </w:r>
          </w:p>
        </w:tc>
        <w:tc>
          <w:tcPr>
            <w:tcW w:w="8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5,462,943</w:t>
            </w:r>
          </w:p>
        </w:tc>
        <w:tc>
          <w:tcPr>
            <w:tcW w:w="920" w:type="dxa"/>
            <w:vAlign w:val="bottom"/>
            <w:shd w:val="clear" w:color="auto" w:fill="CCEEFF"/>
          </w:tcPr>
          <w:p>
            <w:pPr>
              <w:spacing w:after="0"/>
              <w:rPr>
                <w:sz w:val="18"/>
                <w:szCs w:val="18"/>
                <w:color w:val="auto"/>
              </w:rPr>
            </w:pPr>
          </w:p>
        </w:tc>
      </w:tr>
      <w:tr>
        <w:trPr>
          <w:trHeight w:val="234"/>
        </w:trPr>
        <w:tc>
          <w:tcPr>
            <w:tcW w:w="3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E. Tarnoff, MD</w:t>
            </w:r>
          </w:p>
        </w:tc>
        <w:tc>
          <w:tcPr>
            <w:tcW w:w="254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8"/>
              </w:rPr>
              <w:t>29,245,896</w:t>
            </w:r>
          </w:p>
        </w:tc>
        <w:tc>
          <w:tcPr>
            <w:tcW w:w="212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1,188,710</w:t>
            </w:r>
          </w:p>
        </w:tc>
        <w:tc>
          <w:tcPr>
            <w:tcW w:w="218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5,462,943</w:t>
            </w:r>
          </w:p>
        </w:tc>
        <w:tc>
          <w:tcPr>
            <w:tcW w:w="920" w:type="dxa"/>
            <w:vAlign w:val="bottom"/>
          </w:tcPr>
          <w:p>
            <w:pPr>
              <w:spacing w:after="0"/>
              <w:rPr>
                <w:sz w:val="20"/>
                <w:szCs w:val="20"/>
                <w:color w:val="auto"/>
              </w:rPr>
            </w:pPr>
          </w:p>
        </w:tc>
      </w:tr>
    </w:tbl>
    <w:p>
      <w:pPr>
        <w:spacing w:after="0" w:line="175" w:lineRule="exact"/>
        <w:rPr>
          <w:sz w:val="20"/>
          <w:szCs w:val="20"/>
          <w:color w:val="auto"/>
        </w:rPr>
      </w:pPr>
    </w:p>
    <w:p>
      <w:pPr>
        <w:ind w:left="340" w:right="200" w:hanging="332"/>
        <w:spacing w:after="0" w:line="286" w:lineRule="auto"/>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proposal to ratify the appointment of Deloitte &amp; Touche LLP as AngioDynamics’ independent registered public accounting firm for the fiscal year ending May 31, 2026 was approved based upon the following votes: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Votes for approval</w:t>
            </w:r>
          </w:p>
        </w:tc>
        <w:tc>
          <w:tcPr>
            <w:tcW w:w="5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35,727,186</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Votes against</w:t>
            </w:r>
          </w:p>
        </w:tc>
        <w:tc>
          <w:tcPr>
            <w:tcW w:w="5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156,899</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Abstentions</w:t>
            </w:r>
          </w:p>
        </w:tc>
        <w:tc>
          <w:tcPr>
            <w:tcW w:w="5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13,464</w:t>
            </w:r>
          </w:p>
        </w:tc>
      </w:tr>
    </w:tbl>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broker non-votes for this item.</w:t>
      </w:r>
    </w:p>
    <w:p>
      <w:pPr>
        <w:spacing w:after="0" w:line="221" w:lineRule="exact"/>
        <w:rPr>
          <w:sz w:val="20"/>
          <w:szCs w:val="20"/>
          <w:color w:val="auto"/>
        </w:rPr>
      </w:pPr>
    </w:p>
    <w:p>
      <w:pPr>
        <w:ind w:left="340" w:right="220" w:hanging="332"/>
        <w:spacing w:after="0" w:line="286" w:lineRule="auto"/>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proposal to approve, on an advisory basis, AngioDynamics’ executive compensation of its named executive officers was approved based upon the following votes: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Votes for approval</w:t>
            </w:r>
          </w:p>
        </w:tc>
        <w:tc>
          <w:tcPr>
            <w:tcW w:w="5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28,357,782</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Votes against</w:t>
            </w:r>
          </w:p>
        </w:tc>
        <w:tc>
          <w:tcPr>
            <w:tcW w:w="5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2,057,982</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Abstentions</w:t>
            </w:r>
          </w:p>
        </w:tc>
        <w:tc>
          <w:tcPr>
            <w:tcW w:w="5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18,842</w:t>
            </w:r>
          </w:p>
        </w:tc>
      </w:t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5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5,462,943</w:t>
            </w:r>
          </w:p>
        </w:tc>
      </w:tr>
    </w:tbl>
    <w:p>
      <w:pPr>
        <w:spacing w:after="0" w:line="17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ANGIODYNAMICS,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12, 2025</w:t>
      </w:r>
      <w:r>
        <w:rPr>
          <w:sz w:val="20"/>
          <w:szCs w:val="20"/>
          <w:color w:val="auto"/>
        </w:rPr>
        <w:tab/>
      </w:r>
      <w:r>
        <w:rPr>
          <w:rFonts w:ascii="Times New Roman" w:cs="Times New Roman" w:eastAsia="Times New Roman" w:hAnsi="Times New Roman"/>
          <w:sz w:val="18"/>
          <w:szCs w:val="18"/>
          <w:color w:val="auto"/>
        </w:rPr>
        <w:t>By: /s/ Lawrence T.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Lawrence T. Weiss</w:t>
      </w:r>
    </w:p>
    <w:p>
      <w:pPr>
        <w:spacing w:after="0" w:line="27" w:lineRule="exact"/>
        <w:rPr>
          <w:sz w:val="20"/>
          <w:szCs w:val="20"/>
          <w:color w:val="auto"/>
        </w:rPr>
      </w:pPr>
    </w:p>
    <w:p>
      <w:pPr>
        <w:ind w:left="596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Legal Officer and Corporate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2025-11-12T06:13:36Z</dcterms:created>
  <dcterms:modified xsi:type="dcterms:W3CDTF">2025-11-12T06:13:36Z</dcterms:modified>
</cp:coreProperties>
</file>