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AngioDynamics,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03475V101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03475V101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Integrated Core Strategies (US)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551,565.00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551,565.00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551,565.00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03475V101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842,548.00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842,548.00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842,548.00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03475V101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842,548.00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842,548.00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842,548.00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03475V101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842,548.00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842,548.00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842,548.00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980"/>
          </w:cols>
          <w:pgMar w:left="360" w:top="126" w:right="4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100"/>
          </w:cols>
          <w:pgMar w:left="360" w:top="126" w:right="43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AngioDynamics,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Plaza Drive, Latham, New York 12110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Integrated Core Strategies (US) LLC Millennium Management LLC Millennium Group Management LLC Israel A. Englander</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10180"/>
          </w:cols>
          <w:pgMar w:left="360" w:top="126" w:right="439" w:bottom="0" w:gutter="0" w:footer="0" w:header="0"/>
          <w:type w:val="continuous"/>
        </w:sectPr>
      </w:pPr>
    </w:p>
    <w:p>
      <w:pPr>
        <w:spacing w:after="0" w:line="33" w:lineRule="exact"/>
        <w:rPr>
          <w:sz w:val="20"/>
          <w:szCs w:val="20"/>
          <w:color w:val="auto"/>
        </w:rPr>
      </w:pPr>
    </w:p>
    <w:p>
      <w:pPr>
        <w:ind w:left="920" w:hanging="912"/>
        <w:spacing w:after="0" w:line="193"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Integrated Core Strategies (US) LLC c/o Millennium Management LLC 399 Park Avenue New York, New York 10022 Millennium Management LLC 399 Park Avenue New York, New York 10022 Millennium Group Management LLC 399 Park Avenue New York, New York 10022 Israel A. Englander c/o Millennium Management LLC 399 Park Avenue New York, New York 10022</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43"/>
          <w:szCs w:val="43"/>
          <w:color w:val="auto"/>
          <w:vertAlign w:val="subscript"/>
        </w:rPr>
      </w:pPr>
    </w:p>
    <w:p>
      <w:pPr>
        <w:ind w:left="920" w:right="5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Integrated Core Strategies (US) LLC - Delaware Millennium Management LLC - Delaware Millennium Group Management LLC - Delaware Israel A. Englander - United States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No.:</w:t>
      </w:r>
    </w:p>
    <w:p>
      <w:pPr>
        <w:sectPr>
          <w:pgSz w:w="11900" w:h="16838" w:orient="portrait"/>
          <w:cols w:equalWidth="0" w:num="1">
            <w:col w:w="11100"/>
          </w:cols>
          <w:pgMar w:left="360" w:top="126" w:right="439" w:bottom="0" w:gutter="0" w:footer="0" w:header="0"/>
          <w:type w:val="continuous"/>
        </w:sectPr>
      </w:pPr>
    </w:p>
    <w:bookmarkStart w:id="4" w:name="page5"/>
    <w:bookmarkEnd w:id="4"/>
    <w:p>
      <w:pPr>
        <w:spacing w:after="0" w:line="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03475V101</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response to Item 9 on each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response to Item 11 on each cover page.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response to Item 5 on each cover page.</w:t>
      </w:r>
    </w:p>
    <w:p>
      <w:pPr>
        <w:spacing w:after="0" w:line="287" w:lineRule="exact"/>
        <w:rPr>
          <w:sz w:val="20"/>
          <w:szCs w:val="20"/>
          <w:color w:val="auto"/>
        </w:rPr>
      </w:pPr>
    </w:p>
    <w:p>
      <w:pPr>
        <w:ind w:left="920" w:right="6240" w:firstLine="6"/>
        <w:spacing w:after="0" w:line="509" w:lineRule="auto"/>
        <w:tabs>
          <w:tab w:leader="none" w:pos="123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 to Item 6 on each cover page.</w:t>
      </w:r>
    </w:p>
    <w:p>
      <w:pPr>
        <w:spacing w:after="0" w:line="1" w:lineRule="exact"/>
        <w:rPr>
          <w:rFonts w:ascii="Times New Roman" w:cs="Times New Roman" w:eastAsia="Times New Roman" w:hAnsi="Times New Roman"/>
          <w:sz w:val="21"/>
          <w:szCs w:val="21"/>
          <w:color w:val="auto"/>
        </w:rPr>
      </w:pPr>
    </w:p>
    <w:p>
      <w:pPr>
        <w:ind w:left="920" w:right="5320" w:firstLine="6"/>
        <w:spacing w:after="0" w:line="486" w:lineRule="auto"/>
        <w:tabs>
          <w:tab w:leader="none" w:pos="129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left="920" w:right="20"/>
        <w:spacing w:after="0" w:line="248" w:lineRule="auto"/>
        <w:rPr>
          <w:sz w:val="20"/>
          <w:szCs w:val="20"/>
          <w:color w:val="auto"/>
        </w:rPr>
      </w:pPr>
      <w:r>
        <w:rPr>
          <w:rFonts w:ascii="Times New Roman" w:cs="Times New Roman" w:eastAsia="Times New Roman" w:hAnsi="Times New Roman"/>
          <w:sz w:val="21"/>
          <w:szCs w:val="21"/>
          <w:color w:val="auto"/>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25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2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62" w:orient="portrait"/>
          <w:cols w:equalWidth="0" w:num="1">
            <w:col w:w="11140"/>
          </w:cols>
          <w:pgMar w:left="360" w:top="112"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62" w:orient="portrait"/>
          <w:cols w:equalWidth="0" w:num="2">
            <w:col w:w="620" w:space="300"/>
            <w:col w:w="10220"/>
          </w:cols>
          <w:pgMar w:left="360" w:top="112" w:right="399" w:bottom="0"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ectPr>
          <w:pgSz w:w="11900" w:h="16862" w:orient="portrait"/>
          <w:cols w:equalWidth="0" w:num="1">
            <w:col w:w="11140"/>
          </w:cols>
          <w:pgMar w:left="360" w:top="112" w:right="399" w:bottom="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See Exhibit I</w:t>
      </w:r>
    </w:p>
    <w:p>
      <w:pPr>
        <w:sectPr>
          <w:pgSz w:w="11900" w:h="16862" w:orient="portrait"/>
          <w:cols w:equalWidth="0" w:num="1">
            <w:col w:w="11140"/>
          </w:cols>
          <w:pgMar w:left="360" w:top="112" w:right="399" w:bottom="0" w:gutter="0" w:footer="0" w:header="0"/>
          <w:type w:val="continuous"/>
        </w:sectPr>
      </w:pPr>
    </w:p>
    <w:bookmarkStart w:id="5" w:name="page6"/>
    <w:bookmarkEnd w:id="5"/>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8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Integrated Core Strategies (US)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01/07/2026</w:t>
      </w:r>
    </w:p>
    <w:p>
      <w:pPr>
        <w:spacing w:after="0" w:line="15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01/07/2026</w:t>
      </w:r>
    </w:p>
    <w:p>
      <w:pPr>
        <w:spacing w:after="0" w:line="15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01/07/2026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152"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Israel A. Englander</w:t>
      </w:r>
    </w:p>
    <w:p>
      <w:pPr>
        <w:spacing w:after="0" w:line="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Name/Title: Israel A. Englander</w:t>
      </w:r>
    </w:p>
    <w:p>
      <w:pPr>
        <w:spacing w:after="0" w:line="44"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01/07/2026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 INTEGRATED CORE STRATEGIES (US) LLC By: Integrated Holding Group 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Managing Member By: Millennium Management LLC, its General Partner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right="80"/>
        <w:spacing w:after="0" w:line="258" w:lineRule="auto"/>
        <w:rPr>
          <w:sz w:val="20"/>
          <w:szCs w:val="20"/>
          <w:color w:val="auto"/>
        </w:rPr>
      </w:pPr>
      <w:r>
        <w:rPr>
          <w:rFonts w:ascii="Times New Roman" w:cs="Times New Roman" w:eastAsia="Times New Roman" w:hAnsi="Times New Roman"/>
          <w:sz w:val="22"/>
          <w:szCs w:val="22"/>
          <w:color w:val="auto"/>
        </w:rPr>
        <w:t>Exhibit I: Joint Filing Agreement, dated as of January 7, 2026, by and among Integrated Core Strategies (US) LLC, Millennium Management LLC, Millennium Group Management LLC and Israel A. Englander.</w:t>
      </w:r>
    </w:p>
    <w:p>
      <w:pPr>
        <w:sectPr>
          <w:pgSz w:w="11900" w:h="16838" w:orient="portrait"/>
          <w:cols w:equalWidth="0" w:num="1">
            <w:col w:w="11180"/>
          </w:cols>
          <w:pgMar w:left="320" w:top="139" w:right="399" w:bottom="1440" w:gutter="0" w:footer="0" w:header="0"/>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Stock, par value $0.01 per share, of AngioDynamics,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7, 2026</w:t>
      </w:r>
    </w:p>
    <w:p>
      <w:pPr>
        <w:spacing w:after="0" w:line="25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Integrated Holding Group LP,</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Millennium Management LLC,</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1264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1264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1264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26490" cy="889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-7620</wp:posOffset>
            </wp:positionV>
            <wp:extent cx="12852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5240" cy="889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36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Letter"/>
      <w:start w:val="5"/>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2026-01-08T16:36:52Z</dcterms:created>
  <dcterms:modified xsi:type="dcterms:W3CDTF">2026-01-08T16:36:52Z</dcterms:modified>
</cp:coreProperties>
</file>