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3228975</wp:posOffset>
            </wp:positionH>
            <wp:positionV relativeFrom="paragraph">
              <wp:posOffset>127635</wp:posOffset>
            </wp:positionV>
            <wp:extent cx="72009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11430"/>
                    </a:xfrm>
                    <a:prstGeom prst="rect">
                      <a:avLst/>
                    </a:prstGeom>
                    <a:noFill/>
                  </pic:spPr>
                </pic:pic>
              </a:graphicData>
            </a:graphic>
          </wp:anchor>
        </w:drawing>
      </w:r>
    </w:p>
    <w:p>
      <w:pPr>
        <w:spacing w:after="0" w:line="37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January 6, 2026</w:t>
      </w:r>
    </w:p>
    <w:p>
      <w:pPr>
        <w:spacing w:after="0" w:line="13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9"/>
          <w:szCs w:val="29"/>
          <w:b w:val="1"/>
          <w:bCs w:val="1"/>
          <w:color w:val="auto"/>
        </w:rPr>
        <w:t>AngioDynamics, Inc.</w:t>
      </w:r>
    </w:p>
    <w:p>
      <w:pPr>
        <w:spacing w:after="0" w:line="3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ectPr>
          <w:pgSz w:w="11900" w:h="16838" w:orient="portrait"/>
          <w:cols w:equalWidth="0" w:num="1">
            <w:col w:w="11208"/>
          </w:cols>
          <w:pgMar w:left="292" w:top="391" w:right="399" w:bottom="1440" w:gutter="0" w:footer="0" w:header="0"/>
        </w:sectPr>
      </w:pPr>
    </w:p>
    <w:p>
      <w:pPr>
        <w:spacing w:after="0" w:line="134" w:lineRule="exact"/>
        <w:rPr>
          <w:sz w:val="24"/>
          <w:szCs w:val="24"/>
          <w:color w:val="auto"/>
        </w:rPr>
      </w:pPr>
    </w:p>
    <w:p>
      <w:pPr>
        <w:jc w:val="center"/>
        <w:ind w:right="672"/>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jc w:val="center"/>
        <w:ind w:right="672"/>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2"/>
          <w:szCs w:val="12"/>
          <w:b w:val="1"/>
          <w:bCs w:val="1"/>
          <w:color w:val="auto"/>
        </w:rPr>
        <w:t>000-50761</w:t>
      </w:r>
    </w:p>
    <w:p>
      <w:pPr>
        <w:spacing w:after="0" w:line="21"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2"/>
          <w:szCs w:val="12"/>
          <w:b w:val="1"/>
          <w:bCs w:val="1"/>
          <w:color w:val="auto"/>
        </w:rPr>
        <w:t>11-3146460</w:t>
      </w:r>
    </w:p>
    <w:p>
      <w:pPr>
        <w:spacing w:after="0" w:line="2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35" w:lineRule="exact"/>
        <w:rPr>
          <w:sz w:val="24"/>
          <w:szCs w:val="24"/>
          <w:color w:val="auto"/>
        </w:rPr>
      </w:pPr>
    </w:p>
    <w:p>
      <w:pPr>
        <w:sectPr>
          <w:pgSz w:w="11900" w:h="16838" w:orient="portrait"/>
          <w:cols w:equalWidth="0" w:num="3">
            <w:col w:w="4288" w:space="720"/>
            <w:col w:w="2940" w:space="720"/>
            <w:col w:w="2540"/>
          </w:cols>
          <w:pgMar w:left="292" w:top="391" w:right="399" w:bottom="1440" w:gutter="0" w:footer="0" w:header="0"/>
          <w:type w:val="continuous"/>
        </w:sectPr>
      </w:pPr>
    </w:p>
    <w:p>
      <w:pPr>
        <w:jc w:val="center"/>
        <w:ind w:right="1052"/>
        <w:spacing w:after="0"/>
        <w:rPr>
          <w:sz w:val="20"/>
          <w:szCs w:val="20"/>
          <w:color w:val="auto"/>
        </w:rPr>
      </w:pPr>
      <w:r>
        <w:rPr>
          <w:rFonts w:ascii="Times New Roman" w:cs="Times New Roman" w:eastAsia="Times New Roman" w:hAnsi="Times New Roman"/>
          <w:sz w:val="12"/>
          <w:szCs w:val="12"/>
          <w:b w:val="1"/>
          <w:bCs w:val="1"/>
          <w:color w:val="auto"/>
        </w:rPr>
        <w:t>14 Plaza Drive, Latham, New York</w:t>
      </w:r>
    </w:p>
    <w:p>
      <w:pPr>
        <w:spacing w:after="0" w:line="21" w:lineRule="exact"/>
        <w:rPr>
          <w:sz w:val="24"/>
          <w:szCs w:val="24"/>
          <w:color w:val="auto"/>
        </w:rPr>
      </w:pPr>
    </w:p>
    <w:p>
      <w:pPr>
        <w:jc w:val="center"/>
        <w:ind w:right="1052"/>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2"/>
          <w:szCs w:val="12"/>
          <w:b w:val="1"/>
          <w:bCs w:val="1"/>
          <w:color w:val="auto"/>
        </w:rPr>
        <w:t>12110</w:t>
      </w:r>
    </w:p>
    <w:p>
      <w:pPr>
        <w:spacing w:after="0" w:line="2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8508" w:space="720"/>
            <w:col w:w="1980"/>
          </w:cols>
          <w:pgMar w:left="292" w:top="391" w:right="399" w:bottom="1440" w:gutter="0" w:footer="0" w:header="0"/>
          <w:type w:val="continuous"/>
        </w:sect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(518) 795-1400</w:t>
      </w:r>
    </w:p>
    <w:p>
      <w:pPr>
        <w:spacing w:after="0" w:line="21" w:lineRule="exact"/>
        <w:rPr>
          <w:sz w:val="24"/>
          <w:szCs w:val="24"/>
          <w:color w:val="auto"/>
        </w:rPr>
      </w:pPr>
    </w:p>
    <w:p>
      <w:pPr>
        <w:jc w:val="center"/>
        <w:ind w:right="-167"/>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9" w:lineRule="exact"/>
        <w:rPr>
          <w:sz w:val="24"/>
          <w:szCs w:val="24"/>
          <w:color w:val="auto"/>
        </w:rPr>
      </w:pPr>
    </w:p>
    <w:p>
      <w:pPr>
        <w:ind w:left="2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 (b))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 (c))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5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261"/>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w w:val="96"/>
              </w:rPr>
              <w:t>Title of each class</w:t>
            </w:r>
          </w:p>
        </w:tc>
        <w:tc>
          <w:tcPr>
            <w:tcW w:w="4340" w:type="dxa"/>
            <w:vAlign w:val="bottom"/>
          </w:tcPr>
          <w:p>
            <w:pPr>
              <w:spacing w:after="0"/>
              <w:rPr>
                <w:sz w:val="22"/>
                <w:szCs w:val="22"/>
                <w:color w:val="auto"/>
              </w:rPr>
            </w:pPr>
          </w:p>
        </w:tc>
        <w:tc>
          <w:tcPr>
            <w:tcW w:w="158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120" w:type="dxa"/>
            <w:vAlign w:val="bottom"/>
          </w:tcPr>
          <w:p>
            <w:pPr>
              <w:spacing w:after="0"/>
              <w:rPr>
                <w:sz w:val="20"/>
                <w:szCs w:val="20"/>
                <w:color w:val="auto"/>
              </w:rPr>
            </w:pPr>
            <w:r>
              <w:rPr>
                <w:rFonts w:ascii="Times New Roman" w:cs="Times New Roman" w:eastAsia="Times New Roman" w:hAnsi="Times New Roman"/>
                <w:sz w:val="12"/>
                <w:szCs w:val="12"/>
                <w:color w:val="auto"/>
                <w:w w:val="98"/>
              </w:rPr>
              <w:t>Name of each exchange on which registered</w:t>
            </w:r>
          </w:p>
        </w:tc>
      </w:tr>
      <w:tr>
        <w:trPr>
          <w:trHeight w:val="20"/>
        </w:trPr>
        <w:tc>
          <w:tcPr>
            <w:tcW w:w="86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295"/>
        </w:trPr>
        <w:tc>
          <w:tcPr>
            <w:tcW w:w="5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 par value $0.01 per share</w:t>
            </w:r>
          </w:p>
        </w:tc>
        <w:tc>
          <w:tcPr>
            <w:tcW w:w="158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color w:val="auto"/>
                <w:w w:val="97"/>
              </w:rPr>
              <w:t>ANGO</w:t>
            </w:r>
          </w:p>
        </w:tc>
        <w:tc>
          <w:tcPr>
            <w:tcW w:w="2120" w:type="dxa"/>
            <w:vAlign w:val="bottom"/>
          </w:tcPr>
          <w:p>
            <w:pP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133" w:lineRule="exact"/>
        <w:rPr>
          <w:sz w:val="24"/>
          <w:szCs w:val="24"/>
          <w:color w:val="auto"/>
        </w:rPr>
      </w:pPr>
    </w:p>
    <w:p>
      <w:pPr>
        <w:ind w:left="8"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71780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8"/>
          </w:cols>
          <w:pgMar w:left="292" w:top="391"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 Results of Operations and Financial Condition.</w:t>
      </w:r>
    </w:p>
    <w:p>
      <w:pPr>
        <w:spacing w:after="0" w:line="154" w:lineRule="exact"/>
        <w:rPr>
          <w:sz w:val="20"/>
          <w:szCs w:val="20"/>
          <w:color w:val="auto"/>
        </w:rPr>
      </w:pPr>
    </w:p>
    <w:p>
      <w:pPr>
        <w:jc w:val="both"/>
        <w:ind w:right="20" w:firstLine="261"/>
        <w:spacing w:after="0" w:line="279" w:lineRule="auto"/>
        <w:rPr>
          <w:sz w:val="20"/>
          <w:szCs w:val="20"/>
          <w:color w:val="auto"/>
        </w:rPr>
      </w:pPr>
      <w:r>
        <w:rPr>
          <w:rFonts w:ascii="Times New Roman" w:cs="Times New Roman" w:eastAsia="Times New Roman" w:hAnsi="Times New Roman"/>
          <w:sz w:val="12"/>
          <w:szCs w:val="12"/>
          <w:color w:val="auto"/>
        </w:rPr>
        <w:t>On January 6, 2026, AngioDynamics, Inc. (“AngioDynamics”) issued a press release announcing financial results for the fiscal second quarter ended November 30, 2025. A copy of the press release is furnished herewith as Exhibit 99.1.</w:t>
      </w:r>
    </w:p>
    <w:p>
      <w:pPr>
        <w:spacing w:after="0" w:line="111"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The information set forth in Item 2.02 of this Form 8-K (including Exhibit 99.1) shall not be deemed “filed” for purposes of Section 18 of the Securities Exchange Act of 1934, as amended (the “Exchange Act”), or otherwise subject to the liabilities under that Section. Furthermore, such information shall not be deemed to be incorporated by reference into any filing under the Securities Act of 1933, as amended (the “Securities Act”), or the Exchange Act, except as shall be expressly set forth by specific reference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 Regulation FD Disclosure.</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Presentation slides discussing AngioDynamics and its fiscal second quarter ended November 30, 2025 are furnished herewith as Exhibit 99.2.</w:t>
      </w:r>
    </w:p>
    <w:p>
      <w:pPr>
        <w:spacing w:after="0" w:line="150" w:lineRule="exact"/>
        <w:rPr>
          <w:sz w:val="20"/>
          <w:szCs w:val="20"/>
          <w:color w:val="auto"/>
        </w:rPr>
      </w:pPr>
    </w:p>
    <w:p>
      <w:pPr>
        <w:jc w:val="both"/>
        <w:ind w:firstLine="261"/>
        <w:spacing w:after="0" w:line="279" w:lineRule="auto"/>
        <w:rPr>
          <w:sz w:val="20"/>
          <w:szCs w:val="20"/>
          <w:color w:val="auto"/>
        </w:rPr>
      </w:pPr>
      <w:r>
        <w:rPr>
          <w:rFonts w:ascii="Times New Roman" w:cs="Times New Roman" w:eastAsia="Times New Roman" w:hAnsi="Times New Roman"/>
          <w:sz w:val="12"/>
          <w:szCs w:val="12"/>
          <w:color w:val="auto"/>
        </w:rPr>
        <w:t>The presentation slides furnished pursuant to Item 7.01 of this Form 8-K (including Exhibit 99.2) shall not be deemed “filed” for purposes of Section 18 of the Exchange Act, or otherwise subject to the liabilities under that Section. Furthermore, the presentation slides shall not be deemed to be incorporated by reference into any filing under the Securities Act or the Exchange 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This document and its attachments contain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2025. AngioDynamics does not assume any obligation to publicly update or revise any forward-looking statements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2"/>
          <w:szCs w:val="12"/>
          <w:b w:val="1"/>
          <w:bCs w:val="1"/>
          <w:color w:val="auto"/>
        </w:rPr>
        <w:t>Item 9.01 – Financial Statements and Exhibits.</w:t>
      </w:r>
    </w:p>
    <w:p>
      <w:pPr>
        <w:spacing w:after="0" w:line="152" w:lineRule="exact"/>
        <w:rPr>
          <w:sz w:val="20"/>
          <w:szCs w:val="20"/>
          <w:color w:val="auto"/>
        </w:rPr>
      </w:pPr>
    </w:p>
    <w:p>
      <w:pPr>
        <w:ind w:left="328" w:hanging="328"/>
        <w:spacing w:after="0"/>
        <w:tabs>
          <w:tab w:leader="none" w:pos="3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Exhibits</w:t>
      </w:r>
      <w:r>
        <w:rPr>
          <w:rFonts w:ascii="Times New Roman" w:cs="Times New Roman" w:eastAsia="Times New Roman" w:hAnsi="Times New Roman"/>
          <w:sz w:val="12"/>
          <w:szCs w:val="12"/>
          <w:color w:val="auto"/>
        </w:rPr>
        <w:t>.</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5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Exhibit No.</w:t>
            </w:r>
          </w:p>
        </w:tc>
        <w:tc>
          <w:tcPr>
            <w:tcW w:w="9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68"/>
        </w:trPr>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Press Release, dated January 6, 2026.</w:t>
            </w:r>
          </w:p>
        </w:tc>
      </w:tr>
      <w:tr>
        <w:trPr>
          <w:trHeight w:val="268"/>
        </w:trPr>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Presentation, dated January 6, 2026.</w:t>
            </w:r>
          </w:p>
        </w:tc>
      </w:tr>
      <w:tr>
        <w:trPr>
          <w:trHeight w:val="268"/>
        </w:trPr>
        <w:tc>
          <w:tcPr>
            <w:tcW w:w="2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160" w:type="dxa"/>
            <w:vAlign w:val="bottom"/>
            <w:tcBorders>
              <w:bottom w:val="single" w:sz="8" w:color="auto"/>
            </w:tcBorders>
          </w:tcPr>
          <w:p>
            <w:pPr>
              <w:spacing w:after="0"/>
              <w:rPr>
                <w:sz w:val="23"/>
                <w:szCs w:val="23"/>
                <w:color w:val="auto"/>
              </w:rPr>
            </w:pPr>
          </w:p>
        </w:tc>
      </w:tr>
    </w:tbl>
    <w:p>
      <w:pPr>
        <w:sectPr>
          <w:pgSz w:w="11900" w:h="16838" w:orient="portrait"/>
          <w:cols w:equalWidth="0" w:num="1">
            <w:col w:w="11308"/>
          </w:cols>
          <w:pgMar w:left="292" w:top="125"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60" w:type="dxa"/>
            <w:vAlign w:val="bottom"/>
          </w:tcPr>
          <w:p>
            <w:pPr>
              <w:spacing w:after="0"/>
              <w:rPr>
                <w:sz w:val="12"/>
                <w:szCs w:val="12"/>
                <w:color w:val="auto"/>
              </w:rPr>
            </w:pPr>
          </w:p>
        </w:tc>
        <w:tc>
          <w:tcPr>
            <w:tcW w:w="5260" w:type="dxa"/>
            <w:vAlign w:val="bottom"/>
            <w:gridSpan w:val="3"/>
          </w:tcPr>
          <w:p>
            <w:pPr>
              <w:ind w:left="2280"/>
              <w:spacing w:after="0"/>
              <w:rPr>
                <w:sz w:val="20"/>
                <w:szCs w:val="20"/>
                <w:color w:val="auto"/>
              </w:rPr>
            </w:pPr>
            <w:r>
              <w:rPr>
                <w:rFonts w:ascii="Times New Roman" w:cs="Times New Roman" w:eastAsia="Times New Roman" w:hAnsi="Times New Roman"/>
                <w:sz w:val="12"/>
                <w:szCs w:val="12"/>
                <w:color w:val="auto"/>
              </w:rPr>
              <w:t>ANGIODYNAMICS, INC.</w:t>
            </w:r>
          </w:p>
        </w:tc>
        <w:tc>
          <w:tcPr>
            <w:tcW w:w="2680" w:type="dxa"/>
            <w:vAlign w:val="bottom"/>
          </w:tcPr>
          <w:p>
            <w:pPr>
              <w:spacing w:after="0"/>
              <w:rPr>
                <w:sz w:val="12"/>
                <w:szCs w:val="12"/>
                <w:color w:val="auto"/>
              </w:rPr>
            </w:pPr>
          </w:p>
        </w:tc>
      </w:tr>
      <w:tr>
        <w:trPr>
          <w:trHeight w:val="155"/>
        </w:trPr>
        <w:tc>
          <w:tcPr>
            <w:tcW w:w="3360" w:type="dxa"/>
            <w:vAlign w:val="bottom"/>
          </w:tcPr>
          <w:p>
            <w:pPr>
              <w:spacing w:after="0"/>
              <w:rPr>
                <w:sz w:val="13"/>
                <w:szCs w:val="13"/>
                <w:color w:val="auto"/>
              </w:rPr>
            </w:pPr>
          </w:p>
        </w:tc>
        <w:tc>
          <w:tcPr>
            <w:tcW w:w="3060" w:type="dxa"/>
            <w:vAlign w:val="bottom"/>
            <w:gridSpan w:val="2"/>
          </w:tcPr>
          <w:p>
            <w:pPr>
              <w:ind w:left="2280"/>
              <w:spacing w:after="0"/>
              <w:rPr>
                <w:sz w:val="20"/>
                <w:szCs w:val="20"/>
                <w:color w:val="auto"/>
              </w:rPr>
            </w:pPr>
            <w:r>
              <w:rPr>
                <w:rFonts w:ascii="Times New Roman" w:cs="Times New Roman" w:eastAsia="Times New Roman" w:hAnsi="Times New Roman"/>
                <w:sz w:val="12"/>
                <w:szCs w:val="12"/>
                <w:color w:val="auto"/>
              </w:rPr>
              <w:t>(Registrant)</w:t>
            </w:r>
          </w:p>
        </w:tc>
        <w:tc>
          <w:tcPr>
            <w:tcW w:w="2200" w:type="dxa"/>
            <w:vAlign w:val="bottom"/>
          </w:tcPr>
          <w:p>
            <w:pPr>
              <w:spacing w:after="0"/>
              <w:rPr>
                <w:sz w:val="13"/>
                <w:szCs w:val="13"/>
                <w:color w:val="auto"/>
              </w:rPr>
            </w:pPr>
          </w:p>
        </w:tc>
        <w:tc>
          <w:tcPr>
            <w:tcW w:w="2680" w:type="dxa"/>
            <w:vAlign w:val="bottom"/>
          </w:tcPr>
          <w:p>
            <w:pPr>
              <w:spacing w:after="0"/>
              <w:rPr>
                <w:sz w:val="13"/>
                <w:szCs w:val="13"/>
                <w:color w:val="auto"/>
              </w:rPr>
            </w:pPr>
          </w:p>
        </w:tc>
      </w:tr>
      <w:tr>
        <w:trPr>
          <w:trHeight w:val="295"/>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6, 2026</w:t>
            </w:r>
          </w:p>
        </w:tc>
        <w:tc>
          <w:tcPr>
            <w:tcW w:w="5260" w:type="dxa"/>
            <w:vAlign w:val="bottom"/>
            <w:gridSpan w:val="3"/>
          </w:tcPr>
          <w:p>
            <w:pPr>
              <w:ind w:left="2320"/>
              <w:spacing w:after="0"/>
              <w:rPr>
                <w:sz w:val="20"/>
                <w:szCs w:val="20"/>
                <w:color w:val="auto"/>
              </w:rPr>
            </w:pPr>
            <w:r>
              <w:rPr>
                <w:rFonts w:ascii="Times New Roman" w:cs="Times New Roman" w:eastAsia="Times New Roman" w:hAnsi="Times New Roman"/>
                <w:sz w:val="12"/>
                <w:szCs w:val="12"/>
                <w:color w:val="auto"/>
              </w:rPr>
              <w:t>By:   /s/ Lawrence T. Weiss</w:t>
            </w:r>
          </w:p>
        </w:tc>
        <w:tc>
          <w:tcPr>
            <w:tcW w:w="2680" w:type="dxa"/>
            <w:vAlign w:val="bottom"/>
          </w:tcPr>
          <w:p>
            <w:pPr>
              <w:spacing w:after="0"/>
              <w:rPr>
                <w:sz w:val="24"/>
                <w:szCs w:val="24"/>
                <w:color w:val="auto"/>
              </w:rPr>
            </w:pPr>
          </w:p>
        </w:tc>
      </w:tr>
      <w:tr>
        <w:trPr>
          <w:trHeight w:val="133"/>
        </w:trPr>
        <w:tc>
          <w:tcPr>
            <w:tcW w:w="33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2200" w:type="dxa"/>
            <w:vAlign w:val="bottom"/>
            <w:tcBorders>
              <w:top w:val="single" w:sz="8" w:color="auto"/>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Lawrence T. Weiss</w:t>
            </w:r>
          </w:p>
        </w:tc>
        <w:tc>
          <w:tcPr>
            <w:tcW w:w="2680" w:type="dxa"/>
            <w:vAlign w:val="bottom"/>
          </w:tcPr>
          <w:p>
            <w:pPr>
              <w:spacing w:after="0"/>
              <w:rPr>
                <w:sz w:val="11"/>
                <w:szCs w:val="11"/>
                <w:color w:val="auto"/>
              </w:rPr>
            </w:pPr>
          </w:p>
        </w:tc>
      </w:tr>
      <w:tr>
        <w:trPr>
          <w:trHeight w:val="144"/>
        </w:trPr>
        <w:tc>
          <w:tcPr>
            <w:tcW w:w="3360" w:type="dxa"/>
            <w:vAlign w:val="bottom"/>
          </w:tcPr>
          <w:p>
            <w:pPr>
              <w:spacing w:after="0"/>
              <w:rPr>
                <w:sz w:val="12"/>
                <w:szCs w:val="12"/>
                <w:color w:val="auto"/>
              </w:rPr>
            </w:pPr>
          </w:p>
        </w:tc>
        <w:tc>
          <w:tcPr>
            <w:tcW w:w="3060" w:type="dxa"/>
            <w:vAlign w:val="bottom"/>
            <w:gridSpan w:val="2"/>
          </w:tcPr>
          <w:p>
            <w:pPr>
              <w:ind w:left="2620"/>
              <w:spacing w:after="0"/>
              <w:rPr>
                <w:sz w:val="20"/>
                <w:szCs w:val="20"/>
                <w:color w:val="auto"/>
              </w:rPr>
            </w:pPr>
            <w:r>
              <w:rPr>
                <w:rFonts w:ascii="Times New Roman" w:cs="Times New Roman" w:eastAsia="Times New Roman" w:hAnsi="Times New Roman"/>
                <w:sz w:val="12"/>
                <w:szCs w:val="12"/>
                <w:color w:val="auto"/>
              </w:rPr>
              <w:t>Title:</w:t>
            </w:r>
          </w:p>
        </w:tc>
        <w:tc>
          <w:tcPr>
            <w:tcW w:w="2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Senior Vice President, Chief</w:t>
            </w:r>
          </w:p>
        </w:tc>
        <w:tc>
          <w:tcPr>
            <w:tcW w:w="2680" w:type="dxa"/>
            <w:vAlign w:val="bottom"/>
          </w:tcPr>
          <w:p>
            <w:pPr>
              <w:spacing w:after="0"/>
              <w:rPr>
                <w:sz w:val="12"/>
                <w:szCs w:val="12"/>
                <w:color w:val="auto"/>
              </w:rPr>
            </w:pPr>
          </w:p>
        </w:tc>
      </w:tr>
      <w:tr>
        <w:trPr>
          <w:trHeight w:val="144"/>
        </w:trPr>
        <w:tc>
          <w:tcPr>
            <w:tcW w:w="3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Legal Officer and Corporate</w:t>
            </w:r>
          </w:p>
        </w:tc>
        <w:tc>
          <w:tcPr>
            <w:tcW w:w="2680" w:type="dxa"/>
            <w:vAlign w:val="bottom"/>
          </w:tcPr>
          <w:p>
            <w:pPr>
              <w:spacing w:after="0"/>
              <w:rPr>
                <w:sz w:val="12"/>
                <w:szCs w:val="12"/>
                <w:color w:val="auto"/>
              </w:rPr>
            </w:pPr>
          </w:p>
        </w:tc>
      </w:tr>
      <w:tr>
        <w:trPr>
          <w:trHeight w:val="155"/>
        </w:trPr>
        <w:tc>
          <w:tcPr>
            <w:tcW w:w="3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Secretary</w:t>
            </w:r>
          </w:p>
        </w:tc>
        <w:tc>
          <w:tcPr>
            <w:tcW w:w="2680" w:type="dxa"/>
            <w:vAlign w:val="bottom"/>
          </w:tcPr>
          <w:p>
            <w:pPr>
              <w:spacing w:after="0"/>
              <w:rPr>
                <w:sz w:val="13"/>
                <w:szCs w:val="13"/>
                <w:color w:val="auto"/>
              </w:rPr>
            </w:pPr>
          </w:p>
        </w:tc>
      </w:tr>
      <w:tr>
        <w:trPr>
          <w:trHeight w:val="351"/>
        </w:trPr>
        <w:tc>
          <w:tcPr>
            <w:tcW w:w="33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AngioDynamics Reports Fiscal Year 2026 Second Quarter Financial Results; Continued Double Digit Med Tech Growth Drives Increased Profitability</w:t>
      </w:r>
    </w:p>
    <w:p>
      <w:pPr>
        <w:spacing w:after="0" w:line="150"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Med Tech segment delivers fifth consecutive quarter of double-digit growth,</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Strong adjusted EBITDA; and positive cash flow</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Three regulatory milestones support Mechanical Thrombectomy portfolio: Modified AlphaVac 510(k) clearance, PAVE and APEX-Return IDE approvals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Raised full year FY 2026 guidance for net sales and Adjusted EBITDA</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Jim Clemmer to retire during fiscal year 2027 as President and CEO upon appointment of successor; Board initiates comprehensive CEO search</w:t>
      </w:r>
    </w:p>
    <w:p>
      <w:pPr>
        <w:spacing w:after="0" w:line="139"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LATHAM, N.Y.--(BUSINESS WIRE)— Jan. 6, 2026-- AngioDynamics, Inc. (NASDAQ: ANGO), a leading and transformative medical technology company focused on restoring healthy blood flow in the body’s vascular system, expanding cancer treatment options, and improving quality of life for patients, today announced financial results for the second quarter of fiscal year 2026, which ended November 30,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Fiscal Year 2026 Second Quarter Highlights</w:t>
            </w:r>
          </w:p>
        </w:tc>
        <w:tc>
          <w:tcPr>
            <w:tcW w:w="3520" w:type="dxa"/>
            <w:vAlign w:val="bottom"/>
          </w:tcPr>
          <w:p>
            <w:pPr>
              <w:spacing w:after="0"/>
              <w:rPr>
                <w:sz w:val="13"/>
                <w:szCs w:val="13"/>
                <w:color w:val="auto"/>
              </w:rPr>
            </w:pPr>
          </w:p>
        </w:tc>
        <w:tc>
          <w:tcPr>
            <w:tcW w:w="3580" w:type="dxa"/>
            <w:vAlign w:val="bottom"/>
          </w:tcPr>
          <w:p>
            <w:pPr>
              <w:spacing w:after="0"/>
              <w:rPr>
                <w:sz w:val="13"/>
                <w:szCs w:val="13"/>
                <w:color w:val="auto"/>
              </w:rPr>
            </w:pPr>
          </w:p>
        </w:tc>
      </w:tr>
      <w:tr>
        <w:trPr>
          <w:trHeight w:val="273"/>
        </w:trPr>
        <w:tc>
          <w:tcPr>
            <w:tcW w:w="3620" w:type="dxa"/>
            <w:vAlign w:val="bottom"/>
          </w:tcPr>
          <w:p>
            <w:pPr>
              <w:spacing w:after="0"/>
              <w:rPr>
                <w:sz w:val="23"/>
                <w:szCs w:val="23"/>
                <w:color w:val="auto"/>
              </w:rPr>
            </w:pPr>
          </w:p>
        </w:tc>
        <w:tc>
          <w:tcPr>
            <w:tcW w:w="352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Quarter Ended</w:t>
            </w:r>
          </w:p>
        </w:tc>
        <w:tc>
          <w:tcPr>
            <w:tcW w:w="3580" w:type="dxa"/>
            <w:vAlign w:val="bottom"/>
          </w:tcPr>
          <w:p>
            <w:pPr>
              <w:spacing w:after="0"/>
              <w:rPr>
                <w:sz w:val="23"/>
                <w:szCs w:val="23"/>
                <w:color w:val="auto"/>
              </w:rPr>
            </w:pPr>
          </w:p>
        </w:tc>
      </w:tr>
      <w:tr>
        <w:trPr>
          <w:trHeight w:val="159"/>
        </w:trPr>
        <w:tc>
          <w:tcPr>
            <w:tcW w:w="362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b w:val="1"/>
                <w:bCs w:val="1"/>
                <w:i w:val="1"/>
                <w:iCs w:val="1"/>
                <w:color w:val="auto"/>
              </w:rPr>
              <w:t>November 30, 2025</w:t>
            </w:r>
          </w:p>
        </w:tc>
        <w:tc>
          <w:tcPr>
            <w:tcW w:w="35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2"/>
                <w:szCs w:val="12"/>
                <w:b w:val="1"/>
                <w:bCs w:val="1"/>
                <w:color w:val="auto"/>
              </w:rPr>
              <w:t>Pro Forma* YoY Growth</w:t>
            </w:r>
          </w:p>
        </w:tc>
      </w:tr>
      <w:tr>
        <w:trPr>
          <w:trHeight w:val="142"/>
        </w:trPr>
        <w:tc>
          <w:tcPr>
            <w:tcW w:w="36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3520" w:type="dxa"/>
            <w:vAlign w:val="bottom"/>
            <w:tcBorders>
              <w:bottom w:val="single" w:sz="8" w:color="auto"/>
            </w:tcBorders>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$79.4 million</w:t>
            </w:r>
          </w:p>
        </w:tc>
        <w:tc>
          <w:tcPr>
            <w:tcW w:w="3580" w:type="dxa"/>
            <w:vAlign w:val="bottom"/>
            <w:tcBorders>
              <w:bottom w:val="single" w:sz="8" w:color="auto"/>
            </w:tcBorders>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8.8%</w:t>
            </w:r>
          </w:p>
        </w:tc>
      </w:tr>
      <w:tr>
        <w:trPr>
          <w:trHeight w:val="142"/>
        </w:trPr>
        <w:tc>
          <w:tcPr>
            <w:tcW w:w="3620" w:type="dxa"/>
            <w:vAlign w:val="bottom"/>
          </w:tcPr>
          <w:p>
            <w:pPr>
              <w:ind w:left="240"/>
              <w:spacing w:after="0"/>
              <w:rPr>
                <w:sz w:val="20"/>
                <w:szCs w:val="20"/>
                <w:color w:val="auto"/>
              </w:rPr>
            </w:pPr>
            <w:r>
              <w:rPr>
                <w:rFonts w:ascii="Times New Roman" w:cs="Times New Roman" w:eastAsia="Times New Roman" w:hAnsi="Times New Roman"/>
                <w:sz w:val="12"/>
                <w:szCs w:val="12"/>
                <w:i w:val="1"/>
                <w:iCs w:val="1"/>
                <w:color w:val="auto"/>
              </w:rPr>
              <w:t>Med Tech Net Sales</w:t>
            </w:r>
          </w:p>
        </w:tc>
        <w:tc>
          <w:tcPr>
            <w:tcW w:w="3520" w:type="dxa"/>
            <w:vAlign w:val="bottom"/>
          </w:tcPr>
          <w:p>
            <w:pPr>
              <w:jc w:val="center"/>
              <w:ind w:left="100"/>
              <w:spacing w:after="0"/>
              <w:rPr>
                <w:sz w:val="20"/>
                <w:szCs w:val="20"/>
                <w:color w:val="auto"/>
              </w:rPr>
            </w:pPr>
            <w:r>
              <w:rPr>
                <w:rFonts w:ascii="Times New Roman" w:cs="Times New Roman" w:eastAsia="Times New Roman" w:hAnsi="Times New Roman"/>
                <w:sz w:val="12"/>
                <w:szCs w:val="12"/>
                <w:i w:val="1"/>
                <w:iCs w:val="1"/>
                <w:color w:val="auto"/>
                <w:w w:val="99"/>
              </w:rPr>
              <w:t>$35.7 million</w:t>
            </w:r>
          </w:p>
        </w:tc>
        <w:tc>
          <w:tcPr>
            <w:tcW w:w="3580" w:type="dxa"/>
            <w:vAlign w:val="bottom"/>
          </w:tcPr>
          <w:p>
            <w:pPr>
              <w:jc w:val="center"/>
              <w:ind w:left="20"/>
              <w:spacing w:after="0"/>
              <w:rPr>
                <w:sz w:val="20"/>
                <w:szCs w:val="20"/>
                <w:color w:val="auto"/>
              </w:rPr>
            </w:pPr>
            <w:r>
              <w:rPr>
                <w:rFonts w:ascii="Times New Roman" w:cs="Times New Roman" w:eastAsia="Times New Roman" w:hAnsi="Times New Roman"/>
                <w:sz w:val="12"/>
                <w:szCs w:val="12"/>
                <w:i w:val="1"/>
                <w:iCs w:val="1"/>
                <w:color w:val="auto"/>
                <w:w w:val="96"/>
              </w:rPr>
              <w:t>13.0%</w:t>
            </w:r>
          </w:p>
        </w:tc>
      </w:tr>
      <w:tr>
        <w:trPr>
          <w:trHeight w:val="144"/>
        </w:trPr>
        <w:tc>
          <w:tcPr>
            <w:tcW w:w="36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2"/>
                <w:szCs w:val="12"/>
                <w:i w:val="1"/>
                <w:iCs w:val="1"/>
                <w:color w:val="auto"/>
              </w:rPr>
              <w:t>Med Device Net Sales</w:t>
            </w:r>
          </w:p>
        </w:tc>
        <w:tc>
          <w:tcPr>
            <w:tcW w:w="3520" w:type="dxa"/>
            <w:vAlign w:val="bottom"/>
            <w:tcBorders>
              <w:bottom w:val="single" w:sz="8" w:color="auto"/>
            </w:tcBorders>
            <w:shd w:val="clear" w:color="auto" w:fill="CCEEFF"/>
          </w:tcPr>
          <w:p>
            <w:pPr>
              <w:jc w:val="center"/>
              <w:ind w:left="100"/>
              <w:spacing w:after="0"/>
              <w:rPr>
                <w:sz w:val="20"/>
                <w:szCs w:val="20"/>
                <w:color w:val="auto"/>
              </w:rPr>
            </w:pPr>
            <w:r>
              <w:rPr>
                <w:rFonts w:ascii="Times New Roman" w:cs="Times New Roman" w:eastAsia="Times New Roman" w:hAnsi="Times New Roman"/>
                <w:sz w:val="12"/>
                <w:szCs w:val="12"/>
                <w:i w:val="1"/>
                <w:iCs w:val="1"/>
                <w:color w:val="auto"/>
                <w:w w:val="99"/>
              </w:rPr>
              <w:t>$43.8 million</w:t>
            </w:r>
          </w:p>
        </w:tc>
        <w:tc>
          <w:tcPr>
            <w:tcW w:w="3580" w:type="dxa"/>
            <w:vAlign w:val="bottom"/>
            <w:tcBorders>
              <w:bottom w:val="single" w:sz="8" w:color="auto"/>
            </w:tcBorders>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i w:val="1"/>
                <w:iCs w:val="1"/>
                <w:color w:val="auto"/>
              </w:rPr>
              <w:t>5.6%</w:t>
            </w:r>
          </w:p>
        </w:tc>
      </w:tr>
    </w:tbl>
    <w:p>
      <w:pPr>
        <w:spacing w:after="0" w:line="133"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gross margin of 56.4%</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loss per share of $0.15</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loss per share of $0.00</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of $5.9 million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Ended fiscal 2026 second quarter with $41.6 million in cash and cash equivalents, ahead of the Company’s expectations, continues to expect to be cash flow positive for the full year FY 2026</w:t>
      </w:r>
    </w:p>
    <w:p>
      <w:pPr>
        <w:spacing w:after="0" w:line="6" w:lineRule="exact"/>
        <w:rPr>
          <w:rFonts w:ascii="Times New Roman" w:cs="Times New Roman" w:eastAsia="Times New Roman" w:hAnsi="Times New Roman"/>
          <w:sz w:val="12"/>
          <w:szCs w:val="12"/>
          <w:color w:val="auto"/>
        </w:rPr>
      </w:pPr>
    </w:p>
    <w:p>
      <w:pPr>
        <w:ind w:left="420" w:hanging="212"/>
        <w:spacing w:after="0" w:line="189" w:lineRule="auto"/>
        <w:tabs>
          <w:tab w:leader="none" w:pos="420"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Received FDA IDE approval for APEX-Return study evaluating AlphaReturn Blood Management System when used with AlphaVac F18</w:t>
      </w:r>
      <w:r>
        <w:rPr>
          <w:rFonts w:ascii="Times New Roman" w:cs="Times New Roman" w:eastAsia="Times New Roman" w:hAnsi="Times New Roman"/>
          <w:sz w:val="16"/>
          <w:szCs w:val="16"/>
          <w:color w:val="auto"/>
          <w:vertAlign w:val="superscript"/>
        </w:rPr>
        <w:t>85</w:t>
      </w:r>
      <w:r>
        <w:rPr>
          <w:rFonts w:ascii="Times New Roman" w:cs="Times New Roman" w:eastAsia="Times New Roman" w:hAnsi="Times New Roman"/>
          <w:sz w:val="10"/>
          <w:szCs w:val="10"/>
          <w:color w:val="auto"/>
        </w:rPr>
        <w:t xml:space="preserve"> System</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Received FDA IDE approval for PAVE clinical study evaluating AngioVac System for treatment of right-sided infective endocarditis</w:t>
      </w:r>
    </w:p>
    <w:p>
      <w:pPr>
        <w:spacing w:after="0" w:line="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Received FDA 510(k) clearance for modified AlphaVac F1885 System with expanded indication for use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 conclusion of final outstanding item of previously settled patent litigation with Bard</w:t>
      </w:r>
    </w:p>
    <w:p>
      <w:pPr>
        <w:spacing w:after="0" w:line="137"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2"/>
          <w:szCs w:val="12"/>
          <w:i w:val="1"/>
          <w:iCs w:val="1"/>
          <w:color w:val="auto"/>
        </w:rPr>
        <w:t>*Pro forma results exclude the Dialysis and BioSentry businesses divested in June 2023 and the PICC, Midline and tip location product portfolios divested in February 2024, as well as the discontinued Radiofrequency and Syntrax support catheter products in February 2024.</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5" w:name="page6"/>
    <w:bookmarkEnd w:id="5"/>
    <w:p>
      <w:pPr>
        <w:ind w:right="100"/>
        <w:spacing w:after="0" w:line="257" w:lineRule="auto"/>
        <w:rPr>
          <w:sz w:val="20"/>
          <w:szCs w:val="20"/>
          <w:color w:val="auto"/>
        </w:rPr>
      </w:pPr>
      <w:r>
        <w:rPr>
          <w:rFonts w:ascii="Times New Roman" w:cs="Times New Roman" w:eastAsia="Times New Roman" w:hAnsi="Times New Roman"/>
          <w:sz w:val="12"/>
          <w:szCs w:val="12"/>
          <w:color w:val="333333"/>
        </w:rPr>
        <w:t xml:space="preserve">"We delivered an excellent second quarter, with continued strong Med Tech growth driving our overall performance," commented Jim Clemmer, President and Chief Executive Officer of AngioDynamics, Inc. "Across our Med Tech portfolio, we're seeing the benefits of our strategic transformation as our innovative platform technologies, from Auryon to Mechanical Thrombectomy to NanoKnife, continue taking share in large, attractive markets. The momentum across our technology platforms demonstrates the strength of our diversified Med Tech portfolio. </w:t>
      </w:r>
      <w:r>
        <w:rPr>
          <w:rFonts w:ascii="Times New Roman" w:cs="Times New Roman" w:eastAsia="Times New Roman" w:hAnsi="Times New Roman"/>
          <w:sz w:val="12"/>
          <w:szCs w:val="12"/>
          <w:color w:val="000000"/>
        </w:rPr>
        <w:t>We will continue to invest in the long-term growth of our Med Tech portfolio. During the quarter, we advanced several important</w:t>
      </w:r>
      <w:r>
        <w:rPr>
          <w:rFonts w:ascii="Times New Roman" w:cs="Times New Roman" w:eastAsia="Times New Roman" w:hAnsi="Times New Roman"/>
          <w:sz w:val="12"/>
          <w:szCs w:val="12"/>
          <w:color w:val="333333"/>
        </w:rPr>
        <w:t xml:space="preserve"> </w:t>
      </w:r>
      <w:r>
        <w:rPr>
          <w:rFonts w:ascii="Times New Roman" w:cs="Times New Roman" w:eastAsia="Times New Roman" w:hAnsi="Times New Roman"/>
          <w:sz w:val="12"/>
          <w:szCs w:val="12"/>
          <w:color w:val="000000"/>
        </w:rPr>
        <w:t>initiatives, including securing FDA approval on the IDE for right-sided endocarditis and the AlphaVac line extension. In addition, we received FDA IDE approval for our AlphaVac blood return study, an important milestone as we expand our portfolio of best-in-class solutions for physicians treating acute pulmonary embolism</w:t>
      </w:r>
      <w:r>
        <w:rPr>
          <w:rFonts w:ascii="Times New Roman" w:cs="Times New Roman" w:eastAsia="Times New Roman" w:hAnsi="Times New Roman"/>
          <w:sz w:val="12"/>
          <w:szCs w:val="12"/>
          <w:color w:val="333333"/>
        </w:rPr>
        <w:t>.”</w:t>
      </w:r>
    </w:p>
    <w:p>
      <w:pPr>
        <w:spacing w:after="0" w:line="125" w:lineRule="exact"/>
        <w:rPr>
          <w:sz w:val="20"/>
          <w:szCs w:val="20"/>
          <w:color w:val="auto"/>
        </w:rPr>
      </w:pPr>
    </w:p>
    <w:p>
      <w:pPr>
        <w:ind w:right="580"/>
        <w:spacing w:after="0" w:line="279" w:lineRule="auto"/>
        <w:rPr>
          <w:sz w:val="20"/>
          <w:szCs w:val="20"/>
          <w:color w:val="auto"/>
        </w:rPr>
      </w:pPr>
      <w:r>
        <w:rPr>
          <w:rFonts w:ascii="Times New Roman" w:cs="Times New Roman" w:eastAsia="Times New Roman" w:hAnsi="Times New Roman"/>
          <w:sz w:val="12"/>
          <w:szCs w:val="12"/>
          <w:color w:val="333333"/>
        </w:rPr>
        <w:t>Mr. Clemmer continued, “Importantly, our strong top-line growth, combined with disciplined execution of our operating initiatives, translated into another quarter of positive adjusted EBITDA and cash generation. With our differentiated technology portfolio, proven commercial execution, and strong balance sheet, we remain confident in delivering sustained, profitable growth throughout the year.”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Fiscal Year 2026 Second Quarter Financial Results</w:t>
      </w:r>
    </w:p>
    <w:p>
      <w:pPr>
        <w:spacing w:after="0" w:line="154"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333333"/>
        </w:rPr>
        <w:t>Unless otherwise noted, all financial comparisons below are presented on a pro forma basis excluding the Dialysis and BioSentry businesses divested in June 2023, the PICC, Midline, and tip location product portfolios divested in February 2024, and the RadioFrequency and Syntrax support catheter products discontinued in February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Net sales for the second quarter of fiscal year 2026 were $79.4 million, an increase of 8.8% compared to the prior-year quarter.</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333333"/>
        </w:rPr>
        <w:t>Med Tech net sales were $35.7 million, a 13.0% increase from $31.6 million in the prior-year period. Med Tech includes the Auryon peripheral atherectomy platform, the thrombus management platform and the NanoKnife irreversible electroporation platform.</w:t>
      </w:r>
    </w:p>
    <w:p>
      <w:pPr>
        <w:spacing w:after="0" w:line="11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333333"/>
        </w:rPr>
        <w:t>Growth during the quarter was driven by solid performance across the Med Tech segment. Auryon sales were $16.3 million an increase of 18.6%, our Mechanical Thrombectomy business, which includes AngioVac and AlphaVac, delivered sales of $11.0 million, an increase of 3.9%, and NanoKnife sales were $7.3 million, an increase of 22.2%, including 14.4% growth in probes.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Med Device net sales were $43.8 million, a 5.6% increase compared to $41.5 million in the prior-year period.</w:t>
      </w:r>
    </w:p>
    <w:p>
      <w:pPr>
        <w:spacing w:after="0" w:line="15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333333"/>
        </w:rPr>
        <w:t>Gross margin for the second quarter of fiscal 2026 was 56.4%, which was 170 basis points higher compared to the second quarter of fiscal 2025, and 110 basis points higher sequentially from 55.3% in the first quarter of fiscal 2026. The year-over-year improvement was driven by continued product mix shift toward Med Tech sales, accelerated benefits from the Company's manufacturing transfer initiatives, and our transition from a direct sales model to a distributor model in France that included the sale of existing Company owned capital units to a new distributor in the quarter.</w:t>
      </w:r>
    </w:p>
    <w:p>
      <w:pPr>
        <w:spacing w:after="0" w:line="11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333333"/>
        </w:rPr>
        <w:t>The Company recorded a GAAP net loss of $6.4 million, or a loss per share of $0.15, in the second quarter of fiscal 2026. Excluding the items shown in the non-GAAP reconciliation table below, adjusted net loss for the second quarter of fiscal 2026 was $0.1 million, or a loss per share of $0.00. This compares to an adjusted net loss during the fiscal second quarter of 2025 of $1.7 million, or a loss per share of $0.04.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333333"/>
        </w:rPr>
        <w:t>Adjusted EBITDA in the second quarter of fiscal 2026, excluding the items shown in the non-GAAP reconciliation table below, was $5.9 million, compared to $3.1 million in the second quarter of fiscal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In the second quarter of fiscal 2026, the Company generated $4.7 million of cash, ahead of the company’s expectations. The Company continues to expect to be cash flow positive for the full year fiscal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At November 30, 2025, the Company had $41.6 million in cash and cash equivalents compared to $38.8 million in cash and cash equivalents at August 31, 2025. The Company maintains a debt-free balance sheet.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FDA IDE Approval for APEX-Return Study</w:t>
      </w:r>
    </w:p>
    <w:p>
      <w:pPr>
        <w:spacing w:after="0" w:line="154"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2"/>
          <w:szCs w:val="12"/>
          <w:color w:val="333333"/>
        </w:rPr>
        <w:t>During the quarter, the Company announced that the FDA approved its IDE application for its APEX-Return study. The pivotal study will evaluate the safety and effectiveness of the AlphaReturn Blood Management System when used with the AlphaVac F18</w:t>
      </w:r>
      <w:r>
        <w:rPr>
          <w:rFonts w:ascii="Times New Roman" w:cs="Times New Roman" w:eastAsia="Times New Roman" w:hAnsi="Times New Roman"/>
          <w:sz w:val="19"/>
          <w:szCs w:val="19"/>
          <w:color w:val="333333"/>
          <w:vertAlign w:val="superscript"/>
        </w:rPr>
        <w:t>85</w:t>
      </w:r>
      <w:r>
        <w:rPr>
          <w:rFonts w:ascii="Times New Roman" w:cs="Times New Roman" w:eastAsia="Times New Roman" w:hAnsi="Times New Roman"/>
          <w:sz w:val="12"/>
          <w:szCs w:val="12"/>
          <w:color w:val="333333"/>
        </w:rPr>
        <w:t xml:space="preserve"> Multipurpose Mechanical Aspiration (MMA) System in the treatment of acute pulmonary embolism (PE). The APEX-Return study will enroll up to 40 patients across multiple sites and will assess key safety and effectiveness endpoints, including device-related adverse events and procedural outcomes. The AlphaReturn Blood Management System addresses market feedback by enabling the collection, filtration and reinfusion of aspirated blood during thrombectomy procedures, which may reduce the need for blood transfusions.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FDA IDE Approval for PAVE Clinical Study</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333333"/>
        </w:rPr>
        <w:t>During the quarter, the Company announced that the FDA approved its Investigational Device Exemption (IDE) application for the PAVE clinical study. The PAVE (Percutaneous AngioVac Vegetation Extraction) pilot trial will evaluate the Company's AngioVac System for the percutaneous removal of vegetation from the right heart in patients with right-sided infective endocarditis (RSIE). The study is intended to assess whether a minimally invasive approach using the AngioVac System may provide an alternative option for this underserved patient population who have limited treatment options, particularly when surgical risk is high.</w:t>
      </w:r>
    </w:p>
    <w:p>
      <w:pPr>
        <w:spacing w:after="0" w:line="119"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333333"/>
        </w:rPr>
        <w:t>The PAVE study is a prospective, single-arm, multicenter feasibility trial that will enroll up to 30 patients with RSIE at up to six U.S. centers. In August 2023, the AngioVac System received an FDA Breakthrough Device designation for the removal of right heart vegetation.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FDA 510(k) Clearance for Modified AlphaVac F18</w:t>
      </w:r>
      <w:r>
        <w:rPr>
          <w:rFonts w:ascii="Times New Roman" w:cs="Times New Roman" w:eastAsia="Times New Roman" w:hAnsi="Times New Roman"/>
          <w:sz w:val="19"/>
          <w:szCs w:val="19"/>
          <w:b w:val="1"/>
          <w:bCs w:val="1"/>
          <w:color w:val="333333"/>
          <w:vertAlign w:val="superscript"/>
        </w:rPr>
        <w:t>85</w:t>
      </w:r>
      <w:r>
        <w:rPr>
          <w:rFonts w:ascii="Times New Roman" w:cs="Times New Roman" w:eastAsia="Times New Roman" w:hAnsi="Times New Roman"/>
          <w:sz w:val="12"/>
          <w:szCs w:val="12"/>
          <w:b w:val="1"/>
          <w:bCs w:val="1"/>
          <w:color w:val="333333"/>
        </w:rPr>
        <w:t xml:space="preserve"> System</w:t>
      </w:r>
    </w:p>
    <w:p>
      <w:pPr>
        <w:spacing w:after="0" w:line="72"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12"/>
          <w:szCs w:val="12"/>
          <w:color w:val="333333"/>
        </w:rPr>
        <w:t>During the quarter, the Company received FDA 510(k) clearance for a modified AlphaVac F18</w:t>
      </w:r>
      <w:r>
        <w:rPr>
          <w:rFonts w:ascii="Times New Roman" w:cs="Times New Roman" w:eastAsia="Times New Roman" w:hAnsi="Times New Roman"/>
          <w:sz w:val="19"/>
          <w:szCs w:val="19"/>
          <w:color w:val="333333"/>
          <w:vertAlign w:val="superscript"/>
        </w:rPr>
        <w:t>85</w:t>
      </w:r>
      <w:r>
        <w:rPr>
          <w:rFonts w:ascii="Times New Roman" w:cs="Times New Roman" w:eastAsia="Times New Roman" w:hAnsi="Times New Roman"/>
          <w:sz w:val="12"/>
          <w:szCs w:val="12"/>
          <w:color w:val="333333"/>
        </w:rPr>
        <w:t xml:space="preserve"> System with expanded indications for use. The clearance expands the cannula indication to allow aspiration and injection of contrast media and other fluids. The indication includes the sheath which is inserted in the vasculature, providing a conduit for the insertion of the AlphaVac Cannula/Obturator and other endovascular devices while minimizing blood loss associated with such insertions. The modified system also features new packaging consisting of a die card enclosed within a Tyvek pouch, eliminating the use of plastic thermoformed trays.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Successful Conclusion of Previously Settled Patent Litigation With C.R. Bard</w:t>
      </w:r>
    </w:p>
    <w:p>
      <w:pPr>
        <w:spacing w:after="0" w:line="154"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2"/>
          <w:szCs w:val="12"/>
          <w:color w:val="333333"/>
        </w:rPr>
        <w:t>Following the quarter, AngioDynamics received notice that the U.S. Court of Appeals for the Federal Circuit affirmed the district court’s judgment invalidating Bard’s patents related to power injectable port products. This decision concludes Bard’s appeal and brings to a close litigation that AngioDynamics has successfully defended for more than a decade. The ruling confirms the district court’s findings of anticipation and eliminates any obligation for AngioDynamics to make the $3 million contingent payment under the settlement agreement.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20" w:type="dxa"/>
            <w:vAlign w:val="bottom"/>
          </w:tcPr>
          <w:p>
            <w:pPr>
              <w:spacing w:after="0"/>
              <w:rPr>
                <w:sz w:val="20"/>
                <w:szCs w:val="20"/>
                <w:color w:val="auto"/>
              </w:rPr>
            </w:pPr>
            <w:r>
              <w:rPr>
                <w:rFonts w:ascii="Times New Roman" w:cs="Times New Roman" w:eastAsia="Times New Roman" w:hAnsi="Times New Roman"/>
                <w:sz w:val="12"/>
                <w:szCs w:val="12"/>
                <w:b w:val="1"/>
                <w:bCs w:val="1"/>
                <w:color w:val="333333"/>
              </w:rPr>
              <w:t>Fiscal Year 2026 Financial Guidance</w:t>
            </w:r>
          </w:p>
        </w:tc>
        <w:tc>
          <w:tcPr>
            <w:tcW w:w="2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288"/>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333333"/>
              </w:rPr>
              <w:t>For fiscal year 2026 the company now expects:</w:t>
            </w:r>
          </w:p>
        </w:tc>
        <w:tc>
          <w:tcPr>
            <w:tcW w:w="2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3"/>
        </w:trPr>
        <w:tc>
          <w:tcPr>
            <w:tcW w:w="30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980" w:type="dxa"/>
            <w:vAlign w:val="bottom"/>
            <w:gridSpan w:val="2"/>
          </w:tcPr>
          <w:p>
            <w:pPr>
              <w:jc w:val="center"/>
              <w:ind w:left="60"/>
              <w:spacing w:after="0"/>
              <w:rPr>
                <w:sz w:val="20"/>
                <w:szCs w:val="20"/>
                <w:color w:val="auto"/>
              </w:rPr>
            </w:pPr>
            <w:r>
              <w:rPr>
                <w:rFonts w:ascii="Times New Roman" w:cs="Times New Roman" w:eastAsia="Times New Roman" w:hAnsi="Times New Roman"/>
                <w:sz w:val="12"/>
                <w:szCs w:val="12"/>
                <w:b w:val="1"/>
                <w:bCs w:val="1"/>
                <w:color w:val="333333"/>
                <w:w w:val="99"/>
              </w:rPr>
              <w:t>Current Guidance</w:t>
            </w:r>
          </w:p>
        </w:tc>
        <w:tc>
          <w:tcPr>
            <w:tcW w:w="2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333333"/>
                <w:w w:val="98"/>
              </w:rPr>
              <w:t>Previous Guidance</w:t>
            </w:r>
          </w:p>
        </w:tc>
      </w:tr>
      <w:tr>
        <w:trPr>
          <w:trHeight w:val="159"/>
        </w:trPr>
        <w:tc>
          <w:tcPr>
            <w:tcW w:w="302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333333"/>
                <w:w w:val="98"/>
              </w:rPr>
              <w:t>Guidance Metric</w:t>
            </w:r>
          </w:p>
        </w:tc>
        <w:tc>
          <w:tcPr>
            <w:tcW w:w="24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333333"/>
                <w:w w:val="99"/>
              </w:rPr>
              <w:t>Guidance Action</w:t>
            </w:r>
          </w:p>
        </w:tc>
        <w:tc>
          <w:tcPr>
            <w:tcW w:w="29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12"/>
                <w:szCs w:val="12"/>
                <w:b w:val="1"/>
                <w:bCs w:val="1"/>
                <w:i w:val="1"/>
                <w:iCs w:val="1"/>
                <w:color w:val="333333"/>
              </w:rPr>
              <w:t>(as of January 6, 2026)</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333333"/>
                <w:w w:val="99"/>
              </w:rPr>
              <w:t>(as of October 2, 2025)</w:t>
            </w:r>
          </w:p>
        </w:tc>
      </w:tr>
      <w:tr>
        <w:trPr>
          <w:trHeight w:val="142"/>
        </w:trPr>
        <w:tc>
          <w:tcPr>
            <w:tcW w:w="302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333333"/>
              </w:rPr>
              <w:t>Net Sales</w:t>
            </w:r>
          </w:p>
        </w:tc>
        <w:tc>
          <w:tcPr>
            <w:tcW w:w="24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333333"/>
                <w:w w:val="99"/>
              </w:rPr>
              <w:t>Increased</w:t>
            </w:r>
          </w:p>
        </w:tc>
        <w:tc>
          <w:tcPr>
            <w:tcW w:w="2980" w:type="dxa"/>
            <w:vAlign w:val="bottom"/>
            <w:gridSpan w:val="2"/>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333333"/>
              </w:rPr>
              <w:t>$312 - $314 million</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rPr>
              <w:t>$308 - $313 million</w:t>
            </w:r>
          </w:p>
        </w:tc>
      </w:tr>
      <w:tr>
        <w:trPr>
          <w:trHeight w:val="144"/>
        </w:trPr>
        <w:tc>
          <w:tcPr>
            <w:tcW w:w="302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333333"/>
                <w:w w:val="99"/>
              </w:rPr>
              <w:t>Med Tech Net Sales Growth</w:t>
            </w:r>
          </w:p>
        </w:tc>
        <w:tc>
          <w:tcPr>
            <w:tcW w:w="246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333333"/>
                <w:w w:val="98"/>
              </w:rPr>
              <w:t>Unchanged</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333333"/>
              </w:rPr>
              <w:t>14%</w:t>
            </w:r>
          </w:p>
        </w:tc>
        <w:tc>
          <w:tcPr>
            <w:tcW w:w="1460" w:type="dxa"/>
            <w:vAlign w:val="bottom"/>
          </w:tcPr>
          <w:p>
            <w:pPr>
              <w:ind w:left="20"/>
              <w:spacing w:after="0"/>
              <w:rPr>
                <w:sz w:val="20"/>
                <w:szCs w:val="20"/>
                <w:color w:val="auto"/>
              </w:rPr>
            </w:pPr>
            <w:r>
              <w:rPr>
                <w:rFonts w:ascii="Times New Roman" w:cs="Times New Roman" w:eastAsia="Times New Roman" w:hAnsi="Times New Roman"/>
                <w:sz w:val="12"/>
                <w:szCs w:val="12"/>
                <w:color w:val="333333"/>
              </w:rPr>
              <w:t>- 16%</w:t>
            </w:r>
          </w:p>
        </w:tc>
        <w:tc>
          <w:tcPr>
            <w:tcW w:w="2840" w:type="dxa"/>
            <w:vAlign w:val="bottom"/>
          </w:tcPr>
          <w:p>
            <w:pPr>
              <w:jc w:val="center"/>
              <w:spacing w:after="0"/>
              <w:rPr>
                <w:sz w:val="20"/>
                <w:szCs w:val="20"/>
                <w:color w:val="auto"/>
              </w:rPr>
            </w:pPr>
            <w:r>
              <w:rPr>
                <w:rFonts w:ascii="Times New Roman" w:cs="Times New Roman" w:eastAsia="Times New Roman" w:hAnsi="Times New Roman"/>
                <w:sz w:val="12"/>
                <w:szCs w:val="12"/>
                <w:color w:val="333333"/>
                <w:w w:val="99"/>
              </w:rPr>
              <w:t>14% - 16%</w:t>
            </w:r>
          </w:p>
        </w:tc>
      </w:tr>
      <w:tr>
        <w:trPr>
          <w:trHeight w:val="144"/>
        </w:trPr>
        <w:tc>
          <w:tcPr>
            <w:tcW w:w="302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333333"/>
                <w:w w:val="99"/>
              </w:rPr>
              <w:t>Med Device Net Sales Growth</w:t>
            </w:r>
          </w:p>
        </w:tc>
        <w:tc>
          <w:tcPr>
            <w:tcW w:w="24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333333"/>
                <w:w w:val="99"/>
              </w:rPr>
              <w:t>Increased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333333"/>
              </w:rPr>
              <w:t>0%</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333333"/>
              </w:rPr>
              <w:t>- 1%</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w w:val="96"/>
              </w:rPr>
              <w:t>Flat</w:t>
            </w:r>
          </w:p>
        </w:tc>
      </w:tr>
      <w:tr>
        <w:trPr>
          <w:trHeight w:val="144"/>
        </w:trPr>
        <w:tc>
          <w:tcPr>
            <w:tcW w:w="302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333333"/>
                <w:w w:val="99"/>
              </w:rPr>
              <w:t>Gross Margin</w:t>
            </w:r>
          </w:p>
        </w:tc>
        <w:tc>
          <w:tcPr>
            <w:tcW w:w="246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333333"/>
                <w:w w:val="98"/>
              </w:rPr>
              <w:t>Unchanged</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333333"/>
              </w:rPr>
              <w:t>53.5%</w:t>
            </w:r>
          </w:p>
        </w:tc>
        <w:tc>
          <w:tcPr>
            <w:tcW w:w="1460" w:type="dxa"/>
            <w:vAlign w:val="bottom"/>
          </w:tcPr>
          <w:p>
            <w:pPr>
              <w:ind w:left="20"/>
              <w:spacing w:after="0"/>
              <w:rPr>
                <w:sz w:val="20"/>
                <w:szCs w:val="20"/>
                <w:color w:val="auto"/>
              </w:rPr>
            </w:pPr>
            <w:r>
              <w:rPr>
                <w:rFonts w:ascii="Times New Roman" w:cs="Times New Roman" w:eastAsia="Times New Roman" w:hAnsi="Times New Roman"/>
                <w:sz w:val="12"/>
                <w:szCs w:val="12"/>
                <w:color w:val="333333"/>
              </w:rPr>
              <w:t>- 55.5%</w:t>
            </w:r>
          </w:p>
        </w:tc>
        <w:tc>
          <w:tcPr>
            <w:tcW w:w="2840" w:type="dxa"/>
            <w:vAlign w:val="bottom"/>
          </w:tcPr>
          <w:p>
            <w:pPr>
              <w:jc w:val="center"/>
              <w:spacing w:after="0"/>
              <w:rPr>
                <w:sz w:val="20"/>
                <w:szCs w:val="20"/>
                <w:color w:val="auto"/>
              </w:rPr>
            </w:pPr>
            <w:r>
              <w:rPr>
                <w:rFonts w:ascii="Times New Roman" w:cs="Times New Roman" w:eastAsia="Times New Roman" w:hAnsi="Times New Roman"/>
                <w:sz w:val="12"/>
                <w:szCs w:val="12"/>
                <w:color w:val="333333"/>
                <w:w w:val="99"/>
              </w:rPr>
              <w:t>53.5% - 55.5%</w:t>
            </w:r>
          </w:p>
        </w:tc>
      </w:tr>
      <w:tr>
        <w:trPr>
          <w:trHeight w:val="144"/>
        </w:trPr>
        <w:tc>
          <w:tcPr>
            <w:tcW w:w="302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333333"/>
                <w:w w:val="99"/>
              </w:rPr>
              <w:t>Adjusted EBITDA</w:t>
            </w:r>
          </w:p>
        </w:tc>
        <w:tc>
          <w:tcPr>
            <w:tcW w:w="24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333333"/>
                <w:w w:val="99"/>
              </w:rPr>
              <w:t>Increased</w:t>
            </w:r>
          </w:p>
        </w:tc>
        <w:tc>
          <w:tcPr>
            <w:tcW w:w="2980" w:type="dxa"/>
            <w:vAlign w:val="bottom"/>
            <w:gridSpan w:val="2"/>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333333"/>
              </w:rPr>
              <w:t>$8.0 - $10.0 M</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rPr>
              <w:t>$6.0 - $10.0 million</w:t>
            </w:r>
          </w:p>
        </w:tc>
      </w:tr>
      <w:tr>
        <w:trPr>
          <w:trHeight w:val="144"/>
        </w:trPr>
        <w:tc>
          <w:tcPr>
            <w:tcW w:w="302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333333"/>
                <w:w w:val="98"/>
              </w:rPr>
              <w:t>Adjusted EPS</w:t>
            </w:r>
          </w:p>
        </w:tc>
        <w:tc>
          <w:tcPr>
            <w:tcW w:w="246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333333"/>
                <w:w w:val="98"/>
              </w:rPr>
              <w:t>Unchanged</w:t>
            </w:r>
          </w:p>
        </w:tc>
        <w:tc>
          <w:tcPr>
            <w:tcW w:w="2980" w:type="dxa"/>
            <w:vAlign w:val="bottom"/>
            <w:gridSpan w:val="2"/>
          </w:tcPr>
          <w:p>
            <w:pPr>
              <w:jc w:val="center"/>
              <w:ind w:left="60"/>
              <w:spacing w:after="0"/>
              <w:rPr>
                <w:sz w:val="20"/>
                <w:szCs w:val="20"/>
                <w:color w:val="auto"/>
              </w:rPr>
            </w:pPr>
            <w:r>
              <w:rPr>
                <w:rFonts w:ascii="Times New Roman" w:cs="Times New Roman" w:eastAsia="Times New Roman" w:hAnsi="Times New Roman"/>
                <w:sz w:val="12"/>
                <w:szCs w:val="12"/>
                <w:color w:val="333333"/>
                <w:w w:val="99"/>
              </w:rPr>
              <w:t>($0.33) – ($0.23)</w:t>
            </w:r>
          </w:p>
        </w:tc>
        <w:tc>
          <w:tcPr>
            <w:tcW w:w="2840" w:type="dxa"/>
            <w:vAlign w:val="bottom"/>
          </w:tcPr>
          <w:p>
            <w:pPr>
              <w:jc w:val="center"/>
              <w:spacing w:after="0"/>
              <w:rPr>
                <w:sz w:val="20"/>
                <w:szCs w:val="20"/>
                <w:color w:val="auto"/>
              </w:rPr>
            </w:pPr>
            <w:r>
              <w:rPr>
                <w:rFonts w:ascii="Times New Roman" w:cs="Times New Roman" w:eastAsia="Times New Roman" w:hAnsi="Times New Roman"/>
                <w:sz w:val="12"/>
                <w:szCs w:val="12"/>
                <w:color w:val="333333"/>
                <w:w w:val="99"/>
              </w:rPr>
              <w:t>($0.33) – ($0.23)</w:t>
            </w:r>
          </w:p>
        </w:tc>
      </w:tr>
      <w:tr>
        <w:trPr>
          <w:trHeight w:val="144"/>
        </w:trPr>
        <w:tc>
          <w:tcPr>
            <w:tcW w:w="3020" w:type="dxa"/>
            <w:vAlign w:val="bottom"/>
            <w:tcBorders>
              <w:bottom w:val="single" w:sz="8" w:color="auto"/>
            </w:tcBorders>
            <w:shd w:val="clear" w:color="auto" w:fill="CCEEFF"/>
          </w:tcPr>
          <w:p>
            <w:pPr>
              <w:jc w:val="center"/>
              <w:ind w:right="200"/>
              <w:spacing w:after="0"/>
              <w:rPr>
                <w:sz w:val="20"/>
                <w:szCs w:val="20"/>
                <w:color w:val="auto"/>
              </w:rPr>
            </w:pPr>
            <w:r>
              <w:rPr>
                <w:rFonts w:ascii="Times New Roman" w:cs="Times New Roman" w:eastAsia="Times New Roman" w:hAnsi="Times New Roman"/>
                <w:sz w:val="12"/>
                <w:szCs w:val="12"/>
                <w:color w:val="333333"/>
                <w:w w:val="99"/>
              </w:rPr>
              <w:t>Free Cash Flow</w:t>
            </w:r>
          </w:p>
        </w:tc>
        <w:tc>
          <w:tcPr>
            <w:tcW w:w="2460" w:type="dxa"/>
            <w:vAlign w:val="bottom"/>
            <w:tcBorders>
              <w:bottom w:val="single" w:sz="8" w:color="auto"/>
            </w:tcBorders>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333333"/>
                <w:w w:val="98"/>
              </w:rPr>
              <w:t>Unchanged</w:t>
            </w:r>
          </w:p>
        </w:tc>
        <w:tc>
          <w:tcPr>
            <w:tcW w:w="2980" w:type="dxa"/>
            <w:vAlign w:val="bottom"/>
            <w:tcBorders>
              <w:bottom w:val="single" w:sz="8" w:color="auto"/>
            </w:tcBorders>
            <w:gridSpan w:val="2"/>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333333"/>
                <w:w w:val="99"/>
              </w:rPr>
              <w:t>Positive for full year FY 2026</w:t>
            </w:r>
          </w:p>
        </w:tc>
        <w:tc>
          <w:tcPr>
            <w:tcW w:w="2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w w:val="99"/>
              </w:rPr>
              <w:t>Positive for full year FY 2026</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333333"/>
        </w:rPr>
        <w:t>Tariff Related Guidance Assumptions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For the full fiscal year 2026, the company continues to expect a $4.0 - $6.0 million impact from tariffs, which are included in the above provided guidance.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All assumptions made related to expected tariff impacts are based on the Company’s point of view on the current tariff situation, as of January 6, 2026. As the situation is fluid, these assumptions may change in the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Leadership Update; Jim Clemmer to Retire Upon Appointment of Successor</w:t>
      </w:r>
    </w:p>
    <w:p>
      <w:pPr>
        <w:spacing w:after="0" w:line="15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333333"/>
        </w:rPr>
        <w:t>The Company also announced that Mr. Clemmer has informed the Board of Directors of his intention to retire from the Company upon the appointment of a successor, which is anticipated to occur during fiscal 2027. The Board has established a search committee to conduct a comprehensive search, which will be assisted by a leading executive search firm, to identify the Company’s next CEO. Until his successor is appointed, Mr. Clemmer will continue as President and CEO, leading and overseeing the Company’s strategic and financial initiatives with a focus on revenue growth and profitability.</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333333"/>
        </w:rPr>
        <w:t>“Jim has spearheaded our multi-year strategic transformation that reshaped our product portfolio, captured significant opportunities in the large, global MedTech market, and delivered a substantially enhanced top-line growth profile for shareholders,” said Howard Donnelly, AngioDynamics Chairman of the Board. “Jim’s dedication to mentoring our people and cultivating a standard of excellence ensures we have a strong foundation to pursue growth opportunities across the MedTech market through clinical development, and new products and indications that will enable us to help treat substantially more patients. We are grateful for Jim’s contributions and his commitment to a seamless transition and look forward to working together to identify our next leader who will drive continued success for our employees, customers, and shareholders.”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 w:name="page9"/>
    <w:bookmarkEnd w:id="8"/>
    <w:p>
      <w:pPr>
        <w:spacing w:after="0" w:line="265" w:lineRule="auto"/>
        <w:rPr>
          <w:sz w:val="20"/>
          <w:szCs w:val="20"/>
          <w:color w:val="auto"/>
        </w:rPr>
      </w:pPr>
      <w:r>
        <w:rPr>
          <w:rFonts w:ascii="Times New Roman" w:cs="Times New Roman" w:eastAsia="Times New Roman" w:hAnsi="Times New Roman"/>
          <w:sz w:val="12"/>
          <w:szCs w:val="12"/>
          <w:color w:val="333333"/>
        </w:rPr>
        <w:t>“After ten years at AngioDynamics, I feel ready to move on to the next chapter of my life,” said Mr. Clemmer. “Together, we have completed a meaningful strategic transformation and built a strong foundation, developed an industry-leading product portfolio, and expanded operating capabilities. These strengths position the Company well to continue serving our customers while driving profitable growth and long-term value creation. It has been an incredible honor to work alongside our extraordinary people to make differences in the lives of the many patients who have been touched by our products.”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Conference Call</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333333"/>
        </w:rPr>
        <w:t>The Company’s management will host a conference call at 8:00 a.m. ET the same day to discuss the results. To participate in the conference call, dial 1-877-407-0784 (domestic) or +1-201-689-8560 (international). This conference call will also be webcast and can be accessed from the “Investors” section of the AngioDynamics website at www.angiodynamics.com. The webcast replay of the call will be available at the same site approximately one hour after the end of the call.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A recording of the call will also be available, until Tuesday, January 13, 2026 at 11:59 PM ET. To hear this recording, dial 1-844-512-2921 (domestic) or +1-412-317-6671 (international) and enter the passcode 13757614.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Use of Non-GAAP Measures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333333"/>
        </w:rPr>
        <w:t>Management uses non-GAAP measures to establish operational goals and believes that non-GAAP measures may assist investors in analyzing the underlying trends in AngioDynamics' business over time. Investors should consider these non-GAAP measures in addition to, not as a substitute for or as superior to, financial reporting measures prepared in accordance with GAAP. In this news release, AngioDynamics has reported pro forma results, adjusted EBITDA, adjusted net income and adjusted earnings per share. Management uses these measures in its internal analysis and review of operational performance. Management believes that these measures provide investors with useful information in comparing AngioDynamics' performance over different periods. By using these non-GAAP measures, management believes that investors get a better picture of the performance of AngioDynamics' underlying business. Management encourages investors to review AngioDynamics' financial results prepared in accordance with GAAP to understand AngioDynamics' performance taking into account all relevant factors, including those that may only occur from time to time but have a material impact on AngioDynamics' financial results. Please see the tables that follow for a reconciliation of non-GAAP measures to measures prepared in accordance with GAAP.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About AngioDynamics,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AngioDynamics is a leading and transformative medical technology company focused on restoring healthy blood flow in the body’s vascular system, expanding cancer treatment options and improving quality of life for patients.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color w:val="auto"/>
        </w:rPr>
        <w:t xml:space="preserve">The Company’s innovative technologies and devices are chosen by talented physicians in fast-growing healthcare markets to treat unmet patient needs. For more information, visit </w:t>
      </w:r>
      <w:r>
        <w:rPr>
          <w:rFonts w:ascii="Times New Roman" w:cs="Times New Roman" w:eastAsia="Times New Roman" w:hAnsi="Times New Roman"/>
          <w:sz w:val="12"/>
          <w:szCs w:val="12"/>
          <w:u w:val="single" w:color="auto"/>
          <w:color w:val="auto"/>
        </w:rPr>
        <w:t>www.angiodynamics.com</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Safe Harbor</w:t>
      </w:r>
    </w:p>
    <w:p>
      <w:pPr>
        <w:spacing w:after="0" w:line="1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333333"/>
        </w:rPr>
        <w:t>This release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2025. AngioDynamics does not assume any obligation to publicly update or revise any forward-looking statements for any reason.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Stephen Trowbridge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 Vice President &amp; CFO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518-795-1408</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strowbridge@angiodynamics.com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Saleem Cheeks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Vice President, Communications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518-795-1174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scheeks@angiodynamics.com</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CONSOLIDATED INCOME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502"/>
              <w:spacing w:after="0"/>
              <w:rPr>
                <w:sz w:val="20"/>
                <w:szCs w:val="20"/>
                <w:color w:val="auto"/>
              </w:rPr>
            </w:pPr>
            <w:r>
              <w:rPr>
                <w:rFonts w:ascii="Times New Roman" w:cs="Times New Roman" w:eastAsia="Times New Roman" w:hAnsi="Times New Roman"/>
                <w:sz w:val="12"/>
                <w:szCs w:val="12"/>
                <w:color w:val="auto"/>
              </w:rPr>
              <w:t>Three Months Ended</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4"/>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left="122"/>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940" w:type="dxa"/>
            <w:vAlign w:val="bottom"/>
          </w:tcPr>
          <w:p>
            <w:pPr>
              <w:jc w:val="center"/>
              <w:ind w:left="142"/>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r>
      <w:tr>
        <w:trPr>
          <w:trHeight w:val="155"/>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Nov 30, 2025</w:t>
            </w:r>
          </w:p>
        </w:tc>
        <w:tc>
          <w:tcPr>
            <w:tcW w:w="12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Nov 30, 2024</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2"/>
                <w:szCs w:val="12"/>
                <w:color w:val="auto"/>
              </w:rPr>
              <w:t>Nov 30, 2024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Nov 30, 2024</w:t>
            </w:r>
          </w:p>
        </w:tc>
      </w:tr>
      <w:tr>
        <w:trPr>
          <w:trHeight w:val="142"/>
        </w:trPr>
        <w:tc>
          <w:tcPr>
            <w:tcW w:w="6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ind w:left="122"/>
              <w:spacing w:after="0"/>
              <w:rPr>
                <w:sz w:val="20"/>
                <w:szCs w:val="20"/>
                <w:color w:val="auto"/>
              </w:rPr>
            </w:pPr>
            <w:r>
              <w:rPr>
                <w:rFonts w:ascii="Times New Roman" w:cs="Times New Roman" w:eastAsia="Times New Roman" w:hAnsi="Times New Roman"/>
                <w:sz w:val="12"/>
                <w:szCs w:val="12"/>
                <w:color w:val="auto"/>
              </w:rPr>
              <w:t>(unaudited)</w:t>
            </w:r>
          </w:p>
        </w:tc>
        <w:tc>
          <w:tcPr>
            <w:tcW w:w="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79,433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72,845</w:t>
            </w:r>
          </w:p>
        </w:tc>
        <w:tc>
          <w:tcPr>
            <w:tcW w:w="9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88"/>
              </w:rPr>
              <w:t>170</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73,015</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intangible amortization)</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32,939</w:t>
            </w:r>
          </w:p>
        </w:tc>
        <w:tc>
          <w:tcPr>
            <w:tcW w:w="9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88"/>
              </w:rPr>
              <w:t>151</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33,090</w:t>
            </w:r>
          </w:p>
        </w:tc>
      </w:tr>
      <w:tr>
        <w:trPr>
          <w:trHeight w:val="142"/>
        </w:trPr>
        <w:tc>
          <w:tcPr>
            <w:tcW w:w="6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Gross margin</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44,783</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39,906</w:t>
            </w:r>
          </w:p>
        </w:tc>
        <w:tc>
          <w:tcPr>
            <w:tcW w:w="2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39,925</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of net sales</w:t>
            </w:r>
          </w:p>
        </w:tc>
        <w:tc>
          <w:tcPr>
            <w:tcW w:w="14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56.4%</w:t>
            </w:r>
          </w:p>
        </w:tc>
        <w:tc>
          <w:tcPr>
            <w:tcW w:w="1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54.8%</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54.7%</w:t>
            </w:r>
          </w:p>
        </w:tc>
      </w:tr>
      <w:tr>
        <w:trPr>
          <w:trHeight w:val="144"/>
        </w:trPr>
        <w:tc>
          <w:tcPr>
            <w:tcW w:w="6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6,434</w:t>
            </w:r>
          </w:p>
        </w:tc>
        <w:tc>
          <w:tcPr>
            <w:tcW w:w="9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6,434</w:t>
            </w:r>
          </w:p>
        </w:tc>
      </w:tr>
      <w:tr>
        <w:trPr>
          <w:trHeight w:val="144"/>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Sales and marketing</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25,589</w:t>
            </w:r>
          </w:p>
        </w:tc>
        <w:tc>
          <w:tcPr>
            <w:tcW w:w="9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25,589</w:t>
            </w:r>
          </w:p>
        </w:tc>
      </w:tr>
      <w:tr>
        <w:trPr>
          <w:trHeight w:val="144"/>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10,391</w:t>
            </w:r>
          </w:p>
        </w:tc>
        <w:tc>
          <w:tcPr>
            <w:tcW w:w="9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10,391</w:t>
            </w:r>
          </w:p>
        </w:tc>
      </w:tr>
      <w:tr>
        <w:trPr>
          <w:trHeight w:val="144"/>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2,562</w:t>
            </w:r>
          </w:p>
        </w:tc>
        <w:tc>
          <w:tcPr>
            <w:tcW w:w="9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2,562</w:t>
            </w:r>
          </w:p>
        </w:tc>
      </w:tr>
      <w:tr>
        <w:trPr>
          <w:trHeight w:val="144"/>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156</w:t>
            </w:r>
          </w:p>
        </w:tc>
        <w:tc>
          <w:tcPr>
            <w:tcW w:w="9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156</w:t>
            </w:r>
          </w:p>
        </w:tc>
      </w:tr>
      <w:tr>
        <w:trPr>
          <w:trHeight w:val="144"/>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Acquisition, restructuring and other items, net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5,868</w:t>
            </w:r>
          </w:p>
        </w:tc>
        <w:tc>
          <w:tcPr>
            <w:tcW w:w="9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5,877</w:t>
            </w:r>
          </w:p>
        </w:tc>
      </w:tr>
      <w:tr>
        <w:trPr>
          <w:trHeight w:val="142"/>
        </w:trPr>
        <w:tc>
          <w:tcPr>
            <w:tcW w:w="6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50,908</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51,000</w:t>
            </w:r>
          </w:p>
        </w:tc>
        <w:tc>
          <w:tcPr>
            <w:tcW w:w="2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51,009</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0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Operating loss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(6,125)</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(11,094)</w:t>
            </w:r>
          </w:p>
        </w:tc>
        <w:tc>
          <w:tcPr>
            <w:tcW w:w="9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(11,084)</w:t>
            </w: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22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(128)</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w:t>
            </w:r>
          </w:p>
        </w:tc>
        <w:tc>
          <w:tcPr>
            <w:tcW w:w="9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w:t>
            </w:r>
          </w:p>
        </w:tc>
      </w:tr>
      <w:tr>
        <w:trPr>
          <w:trHeight w:val="142"/>
        </w:trPr>
        <w:tc>
          <w:tcPr>
            <w:tcW w:w="6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2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0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Loss before income tax benefit</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(6,355)</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(10,848)</w:t>
            </w:r>
          </w:p>
        </w:tc>
        <w:tc>
          <w:tcPr>
            <w:tcW w:w="9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(10,838)</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(110)</w:t>
            </w:r>
          </w:p>
        </w:tc>
        <w:tc>
          <w:tcPr>
            <w:tcW w:w="9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(110)</w:t>
            </w: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(6,350)</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(10,738)</w:t>
            </w:r>
          </w:p>
        </w:tc>
        <w:tc>
          <w:tcPr>
            <w:tcW w:w="940" w:type="dxa"/>
            <w:vAlign w:val="bottom"/>
          </w:tcPr>
          <w:p>
            <w:pPr>
              <w:jc w:val="right"/>
              <w:ind w:right="822"/>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(10,728)</w:t>
            </w: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6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Loss per share</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Basic</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(0.15)</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(0.26)</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(0.26)</w:t>
            </w:r>
          </w:p>
        </w:tc>
      </w:tr>
      <w:tr>
        <w:trPr>
          <w:trHeight w:val="144"/>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Diluted</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(0.15)</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(0.26)</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(0.26)</w:t>
            </w:r>
          </w:p>
        </w:tc>
      </w:tr>
      <w:tr>
        <w:trPr>
          <w:trHeight w:val="144"/>
        </w:trPr>
        <w:tc>
          <w:tcPr>
            <w:tcW w:w="6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Basic</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41,542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40,922</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40,922</w:t>
            </w:r>
          </w:p>
        </w:tc>
      </w:tr>
      <w:tr>
        <w:trPr>
          <w:trHeight w:val="155"/>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Diluted</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41,542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40,922</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40,922</w:t>
            </w:r>
          </w:p>
        </w:tc>
      </w:tr>
    </w:tbl>
    <w:p>
      <w:pPr>
        <w:spacing w:after="0" w:line="122" w:lineRule="exact"/>
        <w:rPr>
          <w:sz w:val="20"/>
          <w:szCs w:val="20"/>
          <w:color w:val="auto"/>
        </w:rPr>
      </w:pPr>
    </w:p>
    <w:p>
      <w:pPr>
        <w:ind w:left="8" w:right="280" w:hanging="8"/>
        <w:spacing w:after="0" w:line="259" w:lineRule="auto"/>
        <w:tabs>
          <w:tab w:leader="none" w:pos="17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November 30,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1" w:name="page12"/>
    <w:bookmarkEnd w:id="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CONSOLIDATED INCOME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2"/>
                <w:szCs w:val="12"/>
                <w:color w:val="auto"/>
              </w:rPr>
              <w:t>Six Months Ended</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4"/>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r>
      <w:tr>
        <w:trPr>
          <w:trHeight w:val="155"/>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Nov 30, 2025</w:t>
            </w:r>
          </w:p>
        </w:tc>
        <w:tc>
          <w:tcPr>
            <w:tcW w:w="12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Nov 30, 2024</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rPr>
              <w:t>Nov 30, 2024</w:t>
            </w:r>
          </w:p>
        </w:tc>
        <w:tc>
          <w:tcPr>
            <w:tcW w:w="16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Nov 30, 2024</w:t>
            </w:r>
          </w:p>
        </w:tc>
      </w:tr>
      <w:tr>
        <w:trPr>
          <w:trHeight w:val="142"/>
        </w:trPr>
        <w:tc>
          <w:tcPr>
            <w:tcW w:w="6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155,144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140,336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179</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140,515</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intangible amortization)</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63,706</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150</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63,856</w:t>
            </w:r>
          </w:p>
        </w:tc>
      </w:tr>
      <w:tr>
        <w:trPr>
          <w:trHeight w:val="142"/>
        </w:trPr>
        <w:tc>
          <w:tcPr>
            <w:tcW w:w="6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Gross margin</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86,640</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76,630</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76,659</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of net sales</w:t>
            </w:r>
          </w:p>
        </w:tc>
        <w:tc>
          <w:tcPr>
            <w:tcW w:w="14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55.8%</w:t>
            </w:r>
          </w:p>
        </w:tc>
        <w:tc>
          <w:tcPr>
            <w:tcW w:w="1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54.6%</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54.6%</w:t>
            </w:r>
          </w:p>
        </w:tc>
      </w:tr>
      <w:tr>
        <w:trPr>
          <w:trHeight w:val="144"/>
        </w:trPr>
        <w:tc>
          <w:tcPr>
            <w:tcW w:w="6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12,719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12,719</w:t>
            </w:r>
          </w:p>
        </w:tc>
      </w:tr>
      <w:tr>
        <w:trPr>
          <w:trHeight w:val="144"/>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Sales and marketing</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54,841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51,194</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51,194</w:t>
            </w:r>
          </w:p>
        </w:tc>
      </w:tr>
      <w:tr>
        <w:trPr>
          <w:trHeight w:val="144"/>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21,366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21,366</w:t>
            </w:r>
          </w:p>
        </w:tc>
      </w:tr>
      <w:tr>
        <w:trPr>
          <w:trHeight w:val="144"/>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5,132</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5,132</w:t>
            </w:r>
          </w:p>
        </w:tc>
      </w:tr>
      <w:tr>
        <w:trPr>
          <w:trHeight w:val="144"/>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232</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232</w:t>
            </w:r>
          </w:p>
        </w:tc>
      </w:tr>
      <w:tr>
        <w:trPr>
          <w:trHeight w:val="144"/>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Acquisition, restructuring and other items, net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10,179</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164</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10,343</w:t>
            </w:r>
          </w:p>
        </w:tc>
      </w:tr>
      <w:tr>
        <w:trPr>
          <w:trHeight w:val="142"/>
        </w:trPr>
        <w:tc>
          <w:tcPr>
            <w:tcW w:w="6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103,421</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100,822</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100,986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0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Operating loss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(16,781)</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(24,192)</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(135)</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(24,327)</w:t>
            </w: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(306)</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(161)</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(161)</w:t>
            </w:r>
          </w:p>
        </w:tc>
      </w:tr>
      <w:tr>
        <w:trPr>
          <w:trHeight w:val="142"/>
        </w:trPr>
        <w:tc>
          <w:tcPr>
            <w:tcW w:w="6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0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Loss before income tax expense</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(17,193)</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(23,513)</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(135)</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(23,648)</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w:t>
            </w: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(17,253)</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(23,536)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(135)</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(23,671)</w:t>
            </w: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6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Loss per share</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Basic</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(0.42)</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(0.58)</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(0.58)</w:t>
            </w:r>
          </w:p>
        </w:tc>
      </w:tr>
      <w:tr>
        <w:trPr>
          <w:trHeight w:val="144"/>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Diluted</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(0.42)</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(0.58)</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(0.58)</w:t>
            </w:r>
          </w:p>
        </w:tc>
      </w:tr>
      <w:tr>
        <w:trPr>
          <w:trHeight w:val="144"/>
        </w:trPr>
        <w:tc>
          <w:tcPr>
            <w:tcW w:w="6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Basic</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41,404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40,787</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40,787</w:t>
            </w:r>
          </w:p>
        </w:tc>
      </w:tr>
      <w:tr>
        <w:trPr>
          <w:trHeight w:val="155"/>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Diluted</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41,404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40,787</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40,787</w:t>
            </w:r>
          </w:p>
        </w:tc>
      </w:tr>
    </w:tbl>
    <w:p>
      <w:pPr>
        <w:spacing w:after="0" w:line="122" w:lineRule="exact"/>
        <w:rPr>
          <w:sz w:val="20"/>
          <w:szCs w:val="20"/>
          <w:color w:val="auto"/>
        </w:rPr>
      </w:pPr>
    </w:p>
    <w:p>
      <w:pPr>
        <w:ind w:left="8" w:right="280" w:hanging="8"/>
        <w:spacing w:after="0" w:line="259" w:lineRule="auto"/>
        <w:tabs>
          <w:tab w:leader="none" w:pos="1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six months ended November 30,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2" w:name="page13"/>
    <w:bookmarkEnd w:id="12"/>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GAAP TO NON-GAAP RECONCILIATION</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Reconciliation of Net Loss to non-GAAP Adjusted Net Loss and Pro Forma Adjusted Net Loss: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2"/>
                <w:szCs w:val="12"/>
                <w:color w:val="auto"/>
              </w:rPr>
              <w:t>Three Months Ended</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5"/>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3"/>
                <w:szCs w:val="13"/>
                <w:color w:val="auto"/>
              </w:rPr>
            </w:pPr>
          </w:p>
        </w:tc>
        <w:tc>
          <w:tcPr>
            <w:tcW w:w="11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Pro Forma</w:t>
            </w:r>
          </w:p>
        </w:tc>
        <w:tc>
          <w:tcPr>
            <w:tcW w:w="0" w:type="dxa"/>
            <w:vAlign w:val="bottom"/>
          </w:tcPr>
          <w:p>
            <w:pPr>
              <w:spacing w:after="0"/>
              <w:rPr>
                <w:sz w:val="1"/>
                <w:szCs w:val="1"/>
                <w:color w:val="auto"/>
              </w:rPr>
            </w:pPr>
          </w:p>
        </w:tc>
      </w:tr>
      <w:tr>
        <w:trPr>
          <w:trHeight w:val="155"/>
        </w:trPr>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Nov 30, 2025</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w w:val="97"/>
              </w:rPr>
              <w:t>Nov 30,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color w:val="auto"/>
              </w:rPr>
              <w:t>Nov 30,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Nov 30, 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741"/>
              <w:spacing w:after="0"/>
              <w:rPr>
                <w:sz w:val="20"/>
                <w:szCs w:val="20"/>
                <w:color w:val="auto"/>
              </w:rPr>
            </w:pPr>
            <w:r>
              <w:rPr>
                <w:rFonts w:ascii="Times New Roman" w:cs="Times New Roman" w:eastAsia="Times New Roman" w:hAnsi="Times New Roman"/>
                <w:sz w:val="12"/>
                <w:szCs w:val="12"/>
                <w:color w:val="auto"/>
                <w:w w:val="97"/>
              </w:rPr>
              <w:t>(unaudited)</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(6,350)</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(10,738)</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(10,728)</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2,562</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2,562</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156</w:t>
            </w:r>
          </w:p>
        </w:tc>
        <w:tc>
          <w:tcPr>
            <w:tcW w:w="0" w:type="dxa"/>
            <w:vAlign w:val="bottom"/>
          </w:tcPr>
          <w:p>
            <w:pPr>
              <w:spacing w:after="0"/>
              <w:rPr>
                <w:sz w:val="1"/>
                <w:szCs w:val="1"/>
                <w:color w:val="auto"/>
              </w:rPr>
            </w:pPr>
          </w:p>
        </w:tc>
      </w:tr>
      <w:tr>
        <w:trPr>
          <w:trHeight w:val="144"/>
        </w:trPr>
        <w:tc>
          <w:tcPr>
            <w:tcW w:w="60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5,868</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5,877</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Tax effect of non-GAAP items </w:t>
            </w:r>
            <w:r>
              <w:rPr>
                <w:rFonts w:ascii="Times New Roman" w:cs="Times New Roman" w:eastAsia="Times New Roman" w:hAnsi="Times New Roman"/>
                <w:sz w:val="16"/>
                <w:szCs w:val="16"/>
                <w:color w:val="auto"/>
                <w:vertAlign w:val="superscript"/>
              </w:rPr>
              <w:t>(4)</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407</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Adjusted net loss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(59)</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(1,742)</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(1,726)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3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w w:val="99"/>
              </w:rPr>
              <w:t>Reconciliation of Diluted Loss and Pro Forma Diluted Loss Per Share to non-GAAP Adjusted and Pro Forma Adjusted Diluted Loss Per Share:</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6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2"/>
                <w:szCs w:val="12"/>
                <w:color w:val="auto"/>
              </w:rPr>
              <w:t>Three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3"/>
                <w:szCs w:val="13"/>
                <w:color w:val="auto"/>
              </w:rPr>
            </w:pPr>
          </w:p>
        </w:tc>
        <w:tc>
          <w:tcPr>
            <w:tcW w:w="11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Pro Forma</w:t>
            </w:r>
          </w:p>
        </w:tc>
        <w:tc>
          <w:tcPr>
            <w:tcW w:w="0" w:type="dxa"/>
            <w:vAlign w:val="bottom"/>
          </w:tcPr>
          <w:p>
            <w:pPr>
              <w:spacing w:after="0"/>
              <w:rPr>
                <w:sz w:val="1"/>
                <w:szCs w:val="1"/>
                <w:color w:val="auto"/>
              </w:rPr>
            </w:pPr>
          </w:p>
        </w:tc>
      </w:tr>
      <w:tr>
        <w:trPr>
          <w:trHeight w:val="155"/>
        </w:trPr>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Nov 30, 2025</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w w:val="97"/>
              </w:rPr>
              <w:t>Nov 30,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color w:val="auto"/>
              </w:rPr>
              <w:t>Nov 30,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Nov 30, 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741"/>
              <w:spacing w:after="0"/>
              <w:rPr>
                <w:sz w:val="20"/>
                <w:szCs w:val="20"/>
                <w:color w:val="auto"/>
              </w:rPr>
            </w:pPr>
            <w:r>
              <w:rPr>
                <w:rFonts w:ascii="Times New Roman" w:cs="Times New Roman" w:eastAsia="Times New Roman" w:hAnsi="Times New Roman"/>
                <w:sz w:val="12"/>
                <w:szCs w:val="12"/>
                <w:color w:val="auto"/>
                <w:w w:val="97"/>
              </w:rPr>
              <w:t>(unaudited)</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loss per share</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(0.15)</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(0.26)</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0.06</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0.06</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0.06</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44"/>
        </w:trPr>
        <w:tc>
          <w:tcPr>
            <w:tcW w:w="60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0.09</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0.14</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0.14</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Tax effect of non-GAAP items </w:t>
            </w:r>
            <w:r>
              <w:rPr>
                <w:rFonts w:ascii="Times New Roman" w:cs="Times New Roman" w:eastAsia="Times New Roman" w:hAnsi="Times New Roman"/>
                <w:sz w:val="16"/>
                <w:szCs w:val="16"/>
                <w:color w:val="auto"/>
                <w:vertAlign w:val="superscript"/>
              </w:rPr>
              <w:t>(4)</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Adjusted diluted loss per share</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(0.04)</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(0.04)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Adjusted diluted sharecount </w:t>
            </w:r>
            <w:r>
              <w:rPr>
                <w:rFonts w:ascii="Times New Roman" w:cs="Times New Roman" w:eastAsia="Times New Roman" w:hAnsi="Times New Roman"/>
                <w:sz w:val="19"/>
                <w:szCs w:val="19"/>
                <w:color w:val="auto"/>
                <w:vertAlign w:val="superscript"/>
              </w:rPr>
              <w:t>(5)</w:t>
            </w: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41,542</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40,922</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40,922</w:t>
            </w:r>
          </w:p>
        </w:tc>
        <w:tc>
          <w:tcPr>
            <w:tcW w:w="1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40,922</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8" w:right="280" w:hanging="8"/>
        <w:spacing w:after="0" w:line="259" w:lineRule="auto"/>
        <w:tabs>
          <w:tab w:leader="none" w:pos="17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November 30,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6"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costs related to merger and acquisition activities, restructuring, and unusual items, including asset impairments and write-offs, certain litigation, and other items.</w:t>
      </w:r>
    </w:p>
    <w:p>
      <w:pPr>
        <w:spacing w:after="0" w:line="6" w:lineRule="exact"/>
        <w:rPr>
          <w:rFonts w:ascii="Times New Roman" w:cs="Times New Roman" w:eastAsia="Times New Roman" w:hAnsi="Times New Roman"/>
          <w:sz w:val="12"/>
          <w:szCs w:val="12"/>
          <w:color w:val="auto"/>
        </w:rPr>
      </w:pPr>
    </w:p>
    <w:p>
      <w:pPr>
        <w:ind w:left="8" w:right="580" w:hanging="8"/>
        <w:spacing w:after="0" w:line="250" w:lineRule="auto"/>
        <w:tabs>
          <w:tab w:leader="none" w:pos="17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Adjustment to reflect the income tax provision on a non-GAAP basis has been calculated assuming no valuation allowance on the Company's U.S. deferred tax assets and an effective tax rate of 23% for the periods ended November 30, 2025 and 2024.</w:t>
      </w:r>
    </w:p>
    <w:p>
      <w:pPr>
        <w:ind w:left="168" w:hanging="168"/>
        <w:spacing w:after="0"/>
        <w:tabs>
          <w:tab w:leader="none" w:pos="1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Diluted shares may differ for non-GAAP measures as compared to GAAP due to a GAAP loss.</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3" w:name="page14"/>
    <w:bookmarkEnd w:id="1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GAAP TO NON-GAAP RECONCILIATION (Continued)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Reconciliation of Net Loss and Pro Forma Net Loss to Adjusted EBITDA and Pro Forma Adjusted EBITDA:</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543"/>
              <w:spacing w:after="0"/>
              <w:rPr>
                <w:sz w:val="20"/>
                <w:szCs w:val="20"/>
                <w:color w:val="auto"/>
              </w:rPr>
            </w:pPr>
            <w:r>
              <w:rPr>
                <w:rFonts w:ascii="Times New Roman" w:cs="Times New Roman" w:eastAsia="Times New Roman" w:hAnsi="Times New Roman"/>
                <w:sz w:val="12"/>
                <w:szCs w:val="12"/>
                <w:color w:val="auto"/>
              </w:rPr>
              <w:t>Three Months Ended</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center"/>
              <w:ind w:left="83"/>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980" w:type="dxa"/>
            <w:vAlign w:val="bottom"/>
          </w:tcPr>
          <w:p>
            <w:pPr>
              <w:jc w:val="center"/>
              <w:ind w:left="103"/>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Pro Forma</w:t>
            </w:r>
          </w:p>
        </w:tc>
      </w:tr>
      <w:tr>
        <w:trPr>
          <w:trHeight w:val="155"/>
        </w:trPr>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Nov 30, 2025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7"/>
              </w:rPr>
              <w:t>Nov 30, 2024</w:t>
            </w:r>
          </w:p>
        </w:tc>
        <w:tc>
          <w:tcPr>
            <w:tcW w:w="220" w:type="dxa"/>
            <w:vAlign w:val="bottom"/>
          </w:tcPr>
          <w:p>
            <w:pPr>
              <w:spacing w:after="0"/>
              <w:rPr>
                <w:sz w:val="13"/>
                <w:szCs w:val="13"/>
                <w:color w:val="auto"/>
              </w:rPr>
            </w:pPr>
          </w:p>
        </w:tc>
        <w:tc>
          <w:tcPr>
            <w:tcW w:w="980" w:type="dxa"/>
            <w:vAlign w:val="bottom"/>
            <w:tcBorders>
              <w:bottom w:val="single" w:sz="8" w:color="auto"/>
            </w:tcBorders>
          </w:tcPr>
          <w:p>
            <w:pPr>
              <w:jc w:val="center"/>
              <w:ind w:left="103"/>
              <w:spacing w:after="0"/>
              <w:rPr>
                <w:sz w:val="20"/>
                <w:szCs w:val="20"/>
                <w:color w:val="auto"/>
              </w:rPr>
            </w:pPr>
            <w:r>
              <w:rPr>
                <w:rFonts w:ascii="Times New Roman" w:cs="Times New Roman" w:eastAsia="Times New Roman" w:hAnsi="Times New Roman"/>
                <w:sz w:val="12"/>
                <w:szCs w:val="12"/>
                <w:color w:val="auto"/>
              </w:rPr>
              <w:t>Nov 30, 2024</w:t>
            </w:r>
          </w:p>
        </w:tc>
        <w:tc>
          <w:tcPr>
            <w:tcW w:w="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Nov 30, 2024</w:t>
            </w: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3"/>
          </w:tcPr>
          <w:p>
            <w:pPr>
              <w:jc w:val="right"/>
              <w:ind w:right="783"/>
              <w:spacing w:after="0"/>
              <w:rPr>
                <w:sz w:val="20"/>
                <w:szCs w:val="20"/>
                <w:color w:val="auto"/>
              </w:rPr>
            </w:pPr>
            <w:r>
              <w:rPr>
                <w:rFonts w:ascii="Times New Roman" w:cs="Times New Roman" w:eastAsia="Times New Roman" w:hAnsi="Times New Roman"/>
                <w:sz w:val="12"/>
                <w:szCs w:val="12"/>
                <w:color w:val="auto"/>
              </w:rPr>
              <w:t>(unaudited)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(6,350)</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(10,738)</w:t>
            </w:r>
          </w:p>
        </w:tc>
        <w:tc>
          <w:tcPr>
            <w:tcW w:w="98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10</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(10,728)</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(110)</w:t>
            </w:r>
          </w:p>
        </w:tc>
        <w:tc>
          <w:tcPr>
            <w:tcW w:w="98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(110)</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(income), net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(234)</w:t>
            </w:r>
          </w:p>
        </w:tc>
        <w:tc>
          <w:tcPr>
            <w:tcW w:w="9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(234)</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6,863</w:t>
            </w:r>
          </w:p>
        </w:tc>
        <w:tc>
          <w:tcPr>
            <w:tcW w:w="98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6,863</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156</w:t>
            </w:r>
          </w:p>
        </w:tc>
        <w:tc>
          <w:tcPr>
            <w:tcW w:w="9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156</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Stock based compensation</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2,528</w:t>
            </w:r>
          </w:p>
        </w:tc>
        <w:tc>
          <w:tcPr>
            <w:tcW w:w="98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2,528</w:t>
            </w:r>
          </w:p>
        </w:tc>
      </w:tr>
      <w:tr>
        <w:trPr>
          <w:trHeight w:val="144"/>
        </w:trPr>
        <w:tc>
          <w:tcPr>
            <w:tcW w:w="6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4,575</w:t>
            </w:r>
          </w:p>
        </w:tc>
        <w:tc>
          <w:tcPr>
            <w:tcW w:w="9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4,584</w:t>
            </w: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5,937</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3,040</w:t>
            </w:r>
          </w:p>
        </w:tc>
        <w:tc>
          <w:tcPr>
            <w:tcW w:w="98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9"/>
              </w:rPr>
              <w:t>19</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3,059</w:t>
            </w: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8" w:right="280" w:hanging="8"/>
        <w:spacing w:after="0" w:line="259" w:lineRule="auto"/>
        <w:tabs>
          <w:tab w:leader="none" w:pos="17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November 30,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6"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costs related to merger and acquisition activities, restructuring, and unusual items, including asset impairments and write-offs, certain litigation, and other items.</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4" w:name="page15"/>
    <w:bookmarkEnd w:id="14"/>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GAAP TO NON-GAAP RECONCILIATION</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Reconciliation of Net Loss to non-GAAP Adjusted Net Loss and Pro Forma Adjusted Net Loss: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2"/>
                <w:szCs w:val="12"/>
                <w:color w:val="auto"/>
              </w:rPr>
              <w:t>Six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3"/>
                <w:szCs w:val="13"/>
                <w:color w:val="auto"/>
              </w:rPr>
            </w:pPr>
          </w:p>
        </w:tc>
        <w:tc>
          <w:tcPr>
            <w:tcW w:w="11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Pro Forma</w:t>
            </w:r>
          </w:p>
        </w:tc>
      </w:tr>
      <w:tr>
        <w:trPr>
          <w:trHeight w:val="155"/>
        </w:trPr>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Nov 30, 2025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w w:val="97"/>
              </w:rPr>
              <w:t>Nov 30,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color w:val="auto"/>
              </w:rPr>
              <w:t>Nov 30,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Nov 30, 2024</w:t>
            </w: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741"/>
              <w:spacing w:after="0"/>
              <w:rPr>
                <w:sz w:val="20"/>
                <w:szCs w:val="20"/>
                <w:color w:val="auto"/>
              </w:rPr>
            </w:pPr>
            <w:r>
              <w:rPr>
                <w:rFonts w:ascii="Times New Roman" w:cs="Times New Roman" w:eastAsia="Times New Roman" w:hAnsi="Times New Roman"/>
                <w:sz w:val="12"/>
                <w:szCs w:val="12"/>
                <w:color w:val="auto"/>
                <w:w w:val="97"/>
              </w:rPr>
              <w:t>(unaudited)</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(17,253)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(23,536)</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(135)</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(23,671)</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5,132</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5,132</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232</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232</w:t>
            </w:r>
          </w:p>
        </w:tc>
      </w:tr>
      <w:tr>
        <w:trPr>
          <w:trHeight w:val="144"/>
        </w:trPr>
        <w:tc>
          <w:tcPr>
            <w:tcW w:w="60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10,179</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164</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10,343</w:t>
            </w:r>
          </w:p>
        </w:tc>
      </w:tr>
      <w:tr>
        <w:trPr>
          <w:trHeight w:val="144"/>
        </w:trPr>
        <w:tc>
          <w:tcPr>
            <w:tcW w:w="6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Tax effect of non-GAAP items </w:t>
            </w:r>
            <w:r>
              <w:rPr>
                <w:rFonts w:ascii="Times New Roman" w:cs="Times New Roman" w:eastAsia="Times New Roman" w:hAnsi="Times New Roman"/>
                <w:sz w:val="16"/>
                <w:szCs w:val="16"/>
                <w:color w:val="auto"/>
                <w:vertAlign w:val="superscript"/>
              </w:rPr>
              <w:t>(4)</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1,856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1,849</w:t>
            </w: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Adjusted net loss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(4,238)</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(6,137)</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(6,115)</w:t>
            </w:r>
          </w:p>
        </w:tc>
      </w:tr>
      <w:tr>
        <w:trPr>
          <w:trHeight w:val="20"/>
        </w:trPr>
        <w:tc>
          <w:tcPr>
            <w:tcW w:w="6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73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w w:val="99"/>
              </w:rPr>
              <w:t>Reconciliation of Diluted Loss and Pro Forma Diluted Loss Per Share to non-GAAP Adjusted and Pro Forma Adjusted Diluted Loss Per Share:</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32"/>
        </w:trPr>
        <w:tc>
          <w:tcPr>
            <w:tcW w:w="6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2"/>
                <w:szCs w:val="12"/>
                <w:color w:val="auto"/>
              </w:rPr>
              <w:t>Six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3"/>
                <w:szCs w:val="13"/>
                <w:color w:val="auto"/>
              </w:rPr>
            </w:pPr>
          </w:p>
        </w:tc>
        <w:tc>
          <w:tcPr>
            <w:tcW w:w="11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Pro Forma</w:t>
            </w:r>
          </w:p>
        </w:tc>
      </w:tr>
      <w:tr>
        <w:trPr>
          <w:trHeight w:val="155"/>
        </w:trPr>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Nov 30, 2025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w w:val="97"/>
              </w:rPr>
              <w:t>Nov 30,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color w:val="auto"/>
              </w:rPr>
              <w:t>Nov 30, 2025</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Nov 30, 2024</w:t>
            </w: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741"/>
              <w:spacing w:after="0"/>
              <w:rPr>
                <w:sz w:val="20"/>
                <w:szCs w:val="20"/>
                <w:color w:val="auto"/>
              </w:rPr>
            </w:pPr>
            <w:r>
              <w:rPr>
                <w:rFonts w:ascii="Times New Roman" w:cs="Times New Roman" w:eastAsia="Times New Roman" w:hAnsi="Times New Roman"/>
                <w:sz w:val="12"/>
                <w:szCs w:val="12"/>
                <w:color w:val="auto"/>
                <w:w w:val="97"/>
              </w:rPr>
              <w:t>(unaudited)</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loss per share</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(0.42)</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(0.58)</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(0.58)</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0.13</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0.13</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0.01</w:t>
            </w:r>
          </w:p>
        </w:tc>
      </w:tr>
      <w:tr>
        <w:trPr>
          <w:trHeight w:val="144"/>
        </w:trPr>
        <w:tc>
          <w:tcPr>
            <w:tcW w:w="60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0.24</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0.01</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0.25</w:t>
            </w:r>
          </w:p>
        </w:tc>
      </w:tr>
      <w:tr>
        <w:trPr>
          <w:trHeight w:val="144"/>
        </w:trPr>
        <w:tc>
          <w:tcPr>
            <w:tcW w:w="6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Tax effect of non-GAAP items </w:t>
            </w:r>
            <w:r>
              <w:rPr>
                <w:rFonts w:ascii="Times New Roman" w:cs="Times New Roman" w:eastAsia="Times New Roman" w:hAnsi="Times New Roman"/>
                <w:sz w:val="16"/>
                <w:szCs w:val="16"/>
                <w:color w:val="auto"/>
                <w:vertAlign w:val="superscript"/>
              </w:rPr>
              <w:t>(4)</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0.05</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0.04</w:t>
            </w: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Adjusted diluted loss per share</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(0.10)</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(0.15)</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(0.15)</w:t>
            </w: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6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rPr>
                <w:sz w:val="10"/>
                <w:szCs w:val="10"/>
                <w:color w:val="auto"/>
              </w:rPr>
            </w:pPr>
          </w:p>
        </w:tc>
      </w:tr>
      <w:tr>
        <w:trPr>
          <w:trHeight w:val="263"/>
        </w:trPr>
        <w:tc>
          <w:tcPr>
            <w:tcW w:w="6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Adjusted diluted sharecount </w:t>
            </w:r>
            <w:r>
              <w:rPr>
                <w:rFonts w:ascii="Times New Roman" w:cs="Times New Roman" w:eastAsia="Times New Roman" w:hAnsi="Times New Roman"/>
                <w:sz w:val="19"/>
                <w:szCs w:val="19"/>
                <w:color w:val="auto"/>
                <w:vertAlign w:val="superscript"/>
              </w:rPr>
              <w:t>(5)</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41,404</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40,787</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40,787</w:t>
            </w:r>
          </w:p>
        </w:tc>
        <w:tc>
          <w:tcPr>
            <w:tcW w:w="1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40,787</w:t>
            </w:r>
          </w:p>
        </w:tc>
      </w:tr>
    </w:tbl>
    <w:p>
      <w:pPr>
        <w:spacing w:after="0" w:line="14" w:lineRule="exact"/>
        <w:rPr>
          <w:sz w:val="20"/>
          <w:szCs w:val="20"/>
          <w:color w:val="auto"/>
        </w:rPr>
      </w:pPr>
    </w:p>
    <w:p>
      <w:pPr>
        <w:ind w:left="8" w:right="280" w:hanging="8"/>
        <w:spacing w:after="0" w:line="259" w:lineRule="auto"/>
        <w:tabs>
          <w:tab w:leader="none" w:pos="17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six months ended November 30,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6"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costs related to merger and acquisition activities, restructuring, and unusual items, including asset impairments and write-offs, certain litigation, and other items.</w:t>
      </w:r>
    </w:p>
    <w:p>
      <w:pPr>
        <w:spacing w:after="0" w:line="6" w:lineRule="exact"/>
        <w:rPr>
          <w:rFonts w:ascii="Times New Roman" w:cs="Times New Roman" w:eastAsia="Times New Roman" w:hAnsi="Times New Roman"/>
          <w:sz w:val="12"/>
          <w:szCs w:val="12"/>
          <w:color w:val="auto"/>
        </w:rPr>
      </w:pPr>
    </w:p>
    <w:p>
      <w:pPr>
        <w:ind w:left="8" w:right="580" w:hanging="8"/>
        <w:spacing w:after="0" w:line="250" w:lineRule="auto"/>
        <w:tabs>
          <w:tab w:leader="none" w:pos="17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Adjustment to reflect the income tax provision on a non-GAAP basis has been calculated assuming no valuation allowance on the Company's U.S. deferred tax assets and an effective tax rate of 23% for the periods ended November 30, 2025 and 2024.</w:t>
      </w: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Diluted shares may differ for non-GAAP measures as compared to GAAP due to a GAAP loss.</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5" w:name="page16"/>
    <w:bookmarkEnd w:id="1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GAAP TO NON-GAAP RECONCILIATION (Continued)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Reconciliation of Net Loss and Pro Forma Net Loss to Adjusted EBITDA and Pro Forma Adjusted EBITDA:</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2"/>
                <w:szCs w:val="12"/>
                <w:color w:val="auto"/>
              </w:rPr>
              <w:t>Six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3"/>
                <w:szCs w:val="13"/>
                <w:color w:val="auto"/>
              </w:rPr>
            </w:pPr>
          </w:p>
        </w:tc>
        <w:tc>
          <w:tcPr>
            <w:tcW w:w="11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Pro Forma</w:t>
            </w:r>
          </w:p>
        </w:tc>
      </w:tr>
      <w:tr>
        <w:trPr>
          <w:trHeight w:val="155"/>
        </w:trPr>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Nov 30, 2025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7"/>
              </w:rPr>
              <w:t>Nov 30,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Nov 30,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Nov 30, 2024</w:t>
            </w: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(unaudited)</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(17,253)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(23,536)</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(135)</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(23,671)</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(income), net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(840)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(840)</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13,648</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13,648</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232</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232</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Stock based compensation</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5,733</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5,733</w:t>
            </w:r>
          </w:p>
        </w:tc>
      </w:tr>
      <w:tr>
        <w:trPr>
          <w:trHeight w:val="144"/>
        </w:trPr>
        <w:tc>
          <w:tcPr>
            <w:tcW w:w="6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7,616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7,780</w:t>
            </w: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8,097</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2,876</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2,905</w:t>
            </w: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8" w:right="280" w:hanging="8"/>
        <w:spacing w:after="0" w:line="259" w:lineRule="auto"/>
        <w:tabs>
          <w:tab w:leader="none" w:pos="17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six months ended November 30,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6"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costs related to merger and acquisition activities, restructuring, and unusual items, including asset impairments and write-offs, certain litigation, and other items.</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6" w:name="page17"/>
    <w:bookmarkEnd w:id="1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ACQUISITION, RESTRUCTURING, AND OTHER ITEMS, NET DETAIL</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5"/>
          </w:tcPr>
          <w:p>
            <w:pPr>
              <w:jc w:val="right"/>
              <w:ind w:right="960"/>
              <w:spacing w:after="0"/>
              <w:rPr>
                <w:sz w:val="20"/>
                <w:szCs w:val="20"/>
                <w:color w:val="auto"/>
              </w:rPr>
            </w:pPr>
            <w:r>
              <w:rPr>
                <w:rFonts w:ascii="Times New Roman" w:cs="Times New Roman" w:eastAsia="Times New Roman" w:hAnsi="Times New Roman"/>
                <w:sz w:val="12"/>
                <w:szCs w:val="12"/>
                <w:color w:val="auto"/>
              </w:rPr>
              <w:t>Three Months Ended</w:t>
            </w:r>
          </w:p>
        </w:tc>
        <w:tc>
          <w:tcPr>
            <w:tcW w:w="140" w:type="dxa"/>
            <w:vAlign w:val="bottom"/>
          </w:tcPr>
          <w:p>
            <w:pPr>
              <w:spacing w:after="0"/>
              <w:rPr>
                <w:sz w:val="13"/>
                <w:szCs w:val="13"/>
                <w:color w:val="auto"/>
              </w:rPr>
            </w:pPr>
          </w:p>
        </w:tc>
        <w:tc>
          <w:tcPr>
            <w:tcW w:w="2440" w:type="dxa"/>
            <w:vAlign w:val="bottom"/>
            <w:gridSpan w:val="5"/>
          </w:tcPr>
          <w:p>
            <w:pPr>
              <w:jc w:val="right"/>
              <w:ind w:right="900"/>
              <w:spacing w:after="0"/>
              <w:rPr>
                <w:sz w:val="20"/>
                <w:szCs w:val="20"/>
                <w:color w:val="auto"/>
              </w:rPr>
            </w:pPr>
            <w:r>
              <w:rPr>
                <w:rFonts w:ascii="Times New Roman" w:cs="Times New Roman" w:eastAsia="Times New Roman" w:hAnsi="Times New Roman"/>
                <w:sz w:val="12"/>
                <w:szCs w:val="12"/>
                <w:color w:val="auto"/>
              </w:rPr>
              <w:t>Six Months Ended</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Nov 30, 2025</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Nov 30, 2024</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Nov 30, 2025</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Nov 30, 2024</w:t>
            </w:r>
          </w:p>
        </w:tc>
        <w:tc>
          <w:tcPr>
            <w:tcW w:w="120" w:type="dxa"/>
            <w:vAlign w:val="bottom"/>
          </w:tcPr>
          <w:p>
            <w:pPr>
              <w:spacing w:after="0"/>
              <w:rPr>
                <w:sz w:val="12"/>
                <w:szCs w:val="12"/>
                <w:color w:val="auto"/>
              </w:rPr>
            </w:pPr>
          </w:p>
        </w:tc>
      </w:tr>
      <w:tr>
        <w:trPr>
          <w:trHeight w:val="142"/>
        </w:trPr>
        <w:tc>
          <w:tcPr>
            <w:tcW w:w="6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0"/>
                <w:szCs w:val="10"/>
                <w:color w:val="auto"/>
              </w:rPr>
              <w:t xml:space="preserve">Legal </w:t>
            </w:r>
            <w:r>
              <w:rPr>
                <w:rFonts w:ascii="Times New Roman" w:cs="Times New Roman" w:eastAsia="Times New Roman" w:hAnsi="Times New Roman"/>
                <w:sz w:val="16"/>
                <w:szCs w:val="16"/>
                <w:color w:val="auto"/>
                <w:vertAlign w:val="superscript"/>
              </w:rPr>
              <w:t>(1)</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1,472</w:t>
            </w: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1,685</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Mergers and acquisitions</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737</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737</w:t>
            </w:r>
          </w:p>
        </w:tc>
      </w:tr>
      <w:tr>
        <w:trPr>
          <w:trHeight w:val="144"/>
        </w:trPr>
        <w:tc>
          <w:tcPr>
            <w:tcW w:w="6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Plant closure </w:t>
            </w:r>
            <w:r>
              <w:rPr>
                <w:rFonts w:ascii="Times New Roman" w:cs="Times New Roman" w:eastAsia="Times New Roman" w:hAnsi="Times New Roman"/>
                <w:sz w:val="16"/>
                <w:szCs w:val="16"/>
                <w:color w:val="auto"/>
                <w:vertAlign w:val="superscript"/>
              </w:rPr>
              <w:t>(2)</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5,102</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4,716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8,691</w:t>
            </w:r>
          </w:p>
        </w:tc>
      </w:tr>
      <w:tr>
        <w:trPr>
          <w:trHeight w:val="144"/>
        </w:trPr>
        <w:tc>
          <w:tcPr>
            <w:tcW w:w="60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Transition service agreement </w:t>
            </w:r>
            <w:r>
              <w:rPr>
                <w:rFonts w:ascii="Times New Roman" w:cs="Times New Roman" w:eastAsia="Times New Roman" w:hAnsi="Times New Roman"/>
                <w:sz w:val="16"/>
                <w:szCs w:val="16"/>
                <w:color w:val="auto"/>
                <w:vertAlign w:val="superscript"/>
              </w:rPr>
              <w:t>(3)</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(666)</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(454)</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(968)</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(960)</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427</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960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1,301</w:t>
            </w: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3,635</w:t>
            </w:r>
          </w:p>
        </w:tc>
        <w:tc>
          <w:tcPr>
            <w:tcW w:w="24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5,868</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6,393</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10,179</w:t>
            </w: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168" w:hanging="168"/>
        <w:spacing w:after="0"/>
        <w:tabs>
          <w:tab w:leader="none" w:pos="16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expenses related to litigation that is outside the normal course of business.</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Plant closure expense, related to the restructuring of our manufacturing footprint which was announced on January 5, 2024.</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Transition services agreements that were entered into with Merit and Spectrum.</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7" w:name="page18"/>
    <w:bookmarkEnd w:id="1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NET SALES BY PRODUCT CATEGORY AND BY GEOGRAPHY</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980"/>
              <w:spacing w:after="0"/>
              <w:rPr>
                <w:sz w:val="20"/>
                <w:szCs w:val="20"/>
                <w:color w:val="auto"/>
              </w:rPr>
            </w:pPr>
            <w:r>
              <w:rPr>
                <w:rFonts w:ascii="Times New Roman" w:cs="Times New Roman" w:eastAsia="Times New Roman" w:hAnsi="Times New Roman"/>
                <w:sz w:val="12"/>
                <w:szCs w:val="12"/>
                <w:color w:val="auto"/>
              </w:rPr>
              <w:t>Three Months Ended</w:t>
            </w: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center"/>
              <w:ind w:right="18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61"/>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240" w:type="dxa"/>
            <w:vAlign w:val="bottom"/>
          </w:tcPr>
          <w:p>
            <w:pPr>
              <w:spacing w:after="0"/>
              <w:rPr>
                <w:sz w:val="13"/>
                <w:szCs w:val="13"/>
                <w:color w:val="auto"/>
              </w:rPr>
            </w:pPr>
          </w:p>
        </w:tc>
        <w:tc>
          <w:tcPr>
            <w:tcW w:w="1120" w:type="dxa"/>
            <w:vAlign w:val="bottom"/>
          </w:tcPr>
          <w:p>
            <w:pPr>
              <w:jc w:val="center"/>
              <w:ind w:right="18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240" w:type="dxa"/>
            <w:vAlign w:val="bottom"/>
          </w:tcPr>
          <w:p>
            <w:pPr>
              <w:spacing w:after="0"/>
              <w:rPr>
                <w:sz w:val="13"/>
                <w:szCs w:val="13"/>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Pro Forma</w:t>
            </w: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color w:val="auto"/>
              </w:rPr>
              <w:t>Actual</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Pro Forma</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Nov 30, 2025</w:t>
            </w:r>
          </w:p>
        </w:tc>
        <w:tc>
          <w:tcPr>
            <w:tcW w:w="120" w:type="dxa"/>
            <w:vAlign w:val="bottom"/>
          </w:tcPr>
          <w:p>
            <w:pPr>
              <w:spacing w:after="0"/>
              <w:rPr>
                <w:sz w:val="13"/>
                <w:szCs w:val="13"/>
                <w:color w:val="auto"/>
              </w:rPr>
            </w:pPr>
          </w:p>
        </w:tc>
        <w:tc>
          <w:tcPr>
            <w:tcW w:w="1140" w:type="dxa"/>
            <w:vAlign w:val="bottom"/>
          </w:tcPr>
          <w:p>
            <w:pPr>
              <w:jc w:val="right"/>
              <w:ind w:right="301"/>
              <w:spacing w:after="0"/>
              <w:rPr>
                <w:sz w:val="20"/>
                <w:szCs w:val="20"/>
                <w:color w:val="auto"/>
              </w:rPr>
            </w:pPr>
            <w:r>
              <w:rPr>
                <w:rFonts w:ascii="Times New Roman" w:cs="Times New Roman" w:eastAsia="Times New Roman" w:hAnsi="Times New Roman"/>
                <w:sz w:val="12"/>
                <w:szCs w:val="12"/>
                <w:color w:val="auto"/>
              </w:rPr>
              <w:t>Nov 30, 2024</w:t>
            </w:r>
          </w:p>
        </w:tc>
        <w:tc>
          <w:tcPr>
            <w:tcW w:w="240" w:type="dxa"/>
            <w:vAlign w:val="bottom"/>
          </w:tcPr>
          <w:p>
            <w:pPr>
              <w:spacing w:after="0"/>
              <w:rPr>
                <w:sz w:val="13"/>
                <w:szCs w:val="13"/>
                <w:color w:val="auto"/>
              </w:rPr>
            </w:pPr>
          </w:p>
        </w:tc>
        <w:tc>
          <w:tcPr>
            <w:tcW w:w="112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rPr>
              <w:t>Nov 30, 2024</w:t>
            </w:r>
          </w:p>
        </w:tc>
        <w:tc>
          <w:tcPr>
            <w:tcW w:w="24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Nov 30, 2024</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 Growth</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 Growth</w:t>
            </w:r>
          </w:p>
        </w:tc>
        <w:tc>
          <w:tcPr>
            <w:tcW w:w="0" w:type="dxa"/>
            <w:vAlign w:val="bottom"/>
          </w:tcPr>
          <w:p>
            <w:pPr>
              <w:spacing w:after="0"/>
              <w:rPr>
                <w:sz w:val="1"/>
                <w:szCs w:val="1"/>
                <w:color w:val="auto"/>
              </w:rPr>
            </w:pPr>
          </w:p>
        </w:tc>
      </w:tr>
      <w:tr>
        <w:trPr>
          <w:trHeight w:val="153"/>
        </w:trPr>
        <w:tc>
          <w:tcPr>
            <w:tcW w:w="32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Sales</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Med Tech</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35,653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31,554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31,554</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13.0%</w:t>
            </w: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Med Device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43,780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41,291</w:t>
            </w:r>
          </w:p>
        </w:tc>
        <w:tc>
          <w:tcPr>
            <w:tcW w:w="240" w:type="dxa"/>
            <w:vAlign w:val="bottom"/>
          </w:tcPr>
          <w:p>
            <w:pPr>
              <w:spacing w:after="0"/>
              <w:rPr>
                <w:sz w:val="12"/>
                <w:szCs w:val="12"/>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170</w:t>
            </w:r>
          </w:p>
        </w:tc>
        <w:tc>
          <w:tcPr>
            <w:tcW w:w="2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41,461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5.6%</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79,433</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72,845</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170</w:t>
            </w:r>
          </w:p>
        </w:tc>
        <w:tc>
          <w:tcPr>
            <w:tcW w:w="2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73,015</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9.0%</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8.8%</w:t>
            </w: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United States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67,594</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62,678</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62,678</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7.8%</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International</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11,839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10,167</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170</w:t>
            </w: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10,337</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16.4%</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14.5%</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79,433</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72,845</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170</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73,015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8" w:right="280" w:hanging="8"/>
        <w:spacing w:after="0" w:line="259" w:lineRule="auto"/>
        <w:tabs>
          <w:tab w:leader="none" w:pos="17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November 30,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gridSpan w:val="6"/>
          </w:tcPr>
          <w:p>
            <w:pPr>
              <w:ind w:left="980"/>
              <w:spacing w:after="0"/>
              <w:rPr>
                <w:sz w:val="20"/>
                <w:szCs w:val="20"/>
                <w:color w:val="auto"/>
              </w:rPr>
            </w:pPr>
            <w:r>
              <w:rPr>
                <w:rFonts w:ascii="Times New Roman" w:cs="Times New Roman" w:eastAsia="Times New Roman" w:hAnsi="Times New Roman"/>
                <w:sz w:val="12"/>
                <w:szCs w:val="12"/>
                <w:b w:val="1"/>
                <w:bCs w:val="1"/>
                <w:color w:val="auto"/>
              </w:rPr>
              <w:t>GROSS MARGIN BY PRODUCT CATEGORY</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980"/>
              <w:spacing w:after="0"/>
              <w:rPr>
                <w:sz w:val="20"/>
                <w:szCs w:val="20"/>
                <w:color w:val="auto"/>
              </w:rPr>
            </w:pPr>
            <w:r>
              <w:rPr>
                <w:rFonts w:ascii="Times New Roman" w:cs="Times New Roman" w:eastAsia="Times New Roman" w:hAnsi="Times New Roman"/>
                <w:sz w:val="12"/>
                <w:szCs w:val="12"/>
                <w:color w:val="auto"/>
              </w:rPr>
              <w:t>Three Months Ended</w:t>
            </w:r>
          </w:p>
        </w:tc>
        <w:tc>
          <w:tcPr>
            <w:tcW w:w="1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center"/>
              <w:ind w:right="181"/>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341"/>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3"/>
                <w:szCs w:val="13"/>
                <w:color w:val="auto"/>
              </w:rPr>
            </w:pPr>
          </w:p>
        </w:tc>
        <w:tc>
          <w:tcPr>
            <w:tcW w:w="1120" w:type="dxa"/>
            <w:vAlign w:val="bottom"/>
          </w:tcPr>
          <w:p>
            <w:pPr>
              <w:jc w:val="center"/>
              <w:ind w:right="181"/>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240" w:type="dxa"/>
            <w:vAlign w:val="bottom"/>
          </w:tcPr>
          <w:p>
            <w:pPr>
              <w:spacing w:after="0"/>
              <w:rPr>
                <w:sz w:val="13"/>
                <w:szCs w:val="13"/>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Pro Forma</w:t>
            </w:r>
          </w:p>
        </w:tc>
        <w:tc>
          <w:tcPr>
            <w:tcW w:w="144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rPr>
              <w:t>Actual</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r>
      <w:tr>
        <w:trPr>
          <w:trHeight w:val="155"/>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Nov 30, 2025</w:t>
            </w:r>
          </w:p>
        </w:tc>
        <w:tc>
          <w:tcPr>
            <w:tcW w:w="120" w:type="dxa"/>
            <w:vAlign w:val="bottom"/>
          </w:tcPr>
          <w:p>
            <w:pPr>
              <w:spacing w:after="0"/>
              <w:rPr>
                <w:sz w:val="13"/>
                <w:szCs w:val="13"/>
                <w:color w:val="auto"/>
              </w:rPr>
            </w:pPr>
          </w:p>
        </w:tc>
        <w:tc>
          <w:tcPr>
            <w:tcW w:w="1220" w:type="dxa"/>
            <w:vAlign w:val="bottom"/>
          </w:tcPr>
          <w:p>
            <w:pPr>
              <w:jc w:val="right"/>
              <w:ind w:right="381"/>
              <w:spacing w:after="0"/>
              <w:rPr>
                <w:sz w:val="20"/>
                <w:szCs w:val="20"/>
                <w:color w:val="auto"/>
              </w:rPr>
            </w:pPr>
            <w:r>
              <w:rPr>
                <w:rFonts w:ascii="Times New Roman" w:cs="Times New Roman" w:eastAsia="Times New Roman" w:hAnsi="Times New Roman"/>
                <w:sz w:val="12"/>
                <w:szCs w:val="12"/>
                <w:color w:val="auto"/>
              </w:rPr>
              <w:t>Nov 30, 2024</w:t>
            </w:r>
          </w:p>
        </w:tc>
        <w:tc>
          <w:tcPr>
            <w:tcW w:w="160" w:type="dxa"/>
            <w:vAlign w:val="bottom"/>
          </w:tcPr>
          <w:p>
            <w:pPr>
              <w:spacing w:after="0"/>
              <w:rPr>
                <w:sz w:val="13"/>
                <w:szCs w:val="13"/>
                <w:color w:val="auto"/>
              </w:rPr>
            </w:pPr>
          </w:p>
        </w:tc>
        <w:tc>
          <w:tcPr>
            <w:tcW w:w="1120" w:type="dxa"/>
            <w:vAlign w:val="bottom"/>
          </w:tcPr>
          <w:p>
            <w:pPr>
              <w:jc w:val="center"/>
              <w:ind w:right="201"/>
              <w:spacing w:after="0"/>
              <w:rPr>
                <w:sz w:val="20"/>
                <w:szCs w:val="20"/>
                <w:color w:val="auto"/>
              </w:rPr>
            </w:pPr>
            <w:r>
              <w:rPr>
                <w:rFonts w:ascii="Times New Roman" w:cs="Times New Roman" w:eastAsia="Times New Roman" w:hAnsi="Times New Roman"/>
                <w:sz w:val="12"/>
                <w:szCs w:val="12"/>
                <w:color w:val="auto"/>
              </w:rPr>
              <w:t>Nov 30, 2024</w:t>
            </w:r>
          </w:p>
        </w:tc>
        <w:tc>
          <w:tcPr>
            <w:tcW w:w="24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Nov 30, 2024</w:t>
            </w:r>
          </w:p>
        </w:tc>
        <w:tc>
          <w:tcPr>
            <w:tcW w:w="144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 Change</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 Change</w:t>
            </w:r>
          </w:p>
        </w:tc>
      </w:tr>
      <w:tr>
        <w:trPr>
          <w:trHeight w:val="142"/>
        </w:trPr>
        <w:tc>
          <w:tcPr>
            <w:tcW w:w="3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221"/>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Med Tech</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23,286</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20,113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20,113</w:t>
            </w:r>
          </w:p>
        </w:tc>
        <w:tc>
          <w:tcPr>
            <w:tcW w:w="14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15.8%</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4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65.3%</w:t>
            </w:r>
          </w:p>
        </w:tc>
        <w:tc>
          <w:tcPr>
            <w:tcW w:w="120" w:type="dxa"/>
            <w:vAlign w:val="bottom"/>
          </w:tcPr>
          <w:p>
            <w:pPr>
              <w:spacing w:after="0"/>
              <w:rPr>
                <w:sz w:val="12"/>
                <w:szCs w:val="12"/>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63.7%</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63.7%</w:t>
            </w: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Med Device</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21,497</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19,793</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19</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19,812</w:t>
            </w:r>
          </w:p>
        </w:tc>
        <w:tc>
          <w:tcPr>
            <w:tcW w:w="14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8.6%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49.1%</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47.9%</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47.8%</w:t>
            </w:r>
          </w:p>
        </w:tc>
        <w:tc>
          <w:tcPr>
            <w:tcW w:w="14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44,783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39,906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19</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39,925</w:t>
            </w:r>
          </w:p>
        </w:tc>
        <w:tc>
          <w:tcPr>
            <w:tcW w:w="14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12.2%</w:t>
            </w:r>
          </w:p>
        </w:tc>
      </w:tr>
      <w:tr>
        <w:trPr>
          <w:trHeight w:val="155"/>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4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56.4%</w:t>
            </w:r>
          </w:p>
        </w:tc>
        <w:tc>
          <w:tcPr>
            <w:tcW w:w="120" w:type="dxa"/>
            <w:vAlign w:val="bottom"/>
          </w:tcPr>
          <w:p>
            <w:pPr>
              <w:spacing w:after="0"/>
              <w:rPr>
                <w:sz w:val="13"/>
                <w:szCs w:val="13"/>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54.8%</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54.7%</w:t>
            </w:r>
          </w:p>
        </w:tc>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2" w:lineRule="exact"/>
        <w:rPr>
          <w:sz w:val="20"/>
          <w:szCs w:val="20"/>
          <w:color w:val="auto"/>
        </w:rPr>
      </w:pPr>
    </w:p>
    <w:p>
      <w:pPr>
        <w:ind w:left="8" w:right="280" w:hanging="8"/>
        <w:spacing w:after="0" w:line="259" w:lineRule="auto"/>
        <w:tabs>
          <w:tab w:leader="none" w:pos="17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November 30,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8" w:name="page19"/>
    <w:bookmarkEnd w:id="1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NET SALES BY PRODUCT CATEGORY AND BY GEOGRAPHY</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12"/>
                <w:szCs w:val="12"/>
                <w:color w:val="auto"/>
              </w:rPr>
              <w:t>Six Months Ended</w:t>
            </w: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center"/>
              <w:ind w:right="18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61"/>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240" w:type="dxa"/>
            <w:vAlign w:val="bottom"/>
          </w:tcPr>
          <w:p>
            <w:pPr>
              <w:spacing w:after="0"/>
              <w:rPr>
                <w:sz w:val="13"/>
                <w:szCs w:val="13"/>
                <w:color w:val="auto"/>
              </w:rPr>
            </w:pPr>
          </w:p>
        </w:tc>
        <w:tc>
          <w:tcPr>
            <w:tcW w:w="1120" w:type="dxa"/>
            <w:vAlign w:val="bottom"/>
          </w:tcPr>
          <w:p>
            <w:pPr>
              <w:jc w:val="center"/>
              <w:ind w:right="18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24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c>
          <w:tcPr>
            <w:tcW w:w="100" w:type="dxa"/>
            <w:vAlign w:val="bottom"/>
          </w:tcPr>
          <w:p>
            <w:pPr>
              <w:spacing w:after="0"/>
              <w:rPr>
                <w:sz w:val="13"/>
                <w:szCs w:val="13"/>
                <w:color w:val="auto"/>
              </w:rPr>
            </w:pPr>
          </w:p>
        </w:tc>
        <w:tc>
          <w:tcPr>
            <w:tcW w:w="144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rPr>
              <w:t>Actual</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Nov 30, 2025</w:t>
            </w:r>
          </w:p>
        </w:tc>
        <w:tc>
          <w:tcPr>
            <w:tcW w:w="120" w:type="dxa"/>
            <w:vAlign w:val="bottom"/>
          </w:tcPr>
          <w:p>
            <w:pPr>
              <w:spacing w:after="0"/>
              <w:rPr>
                <w:sz w:val="13"/>
                <w:szCs w:val="13"/>
                <w:color w:val="auto"/>
              </w:rPr>
            </w:pPr>
          </w:p>
        </w:tc>
        <w:tc>
          <w:tcPr>
            <w:tcW w:w="1140" w:type="dxa"/>
            <w:vAlign w:val="bottom"/>
          </w:tcPr>
          <w:p>
            <w:pPr>
              <w:jc w:val="right"/>
              <w:ind w:right="301"/>
              <w:spacing w:after="0"/>
              <w:rPr>
                <w:sz w:val="20"/>
                <w:szCs w:val="20"/>
                <w:color w:val="auto"/>
              </w:rPr>
            </w:pPr>
            <w:r>
              <w:rPr>
                <w:rFonts w:ascii="Times New Roman" w:cs="Times New Roman" w:eastAsia="Times New Roman" w:hAnsi="Times New Roman"/>
                <w:sz w:val="12"/>
                <w:szCs w:val="12"/>
                <w:color w:val="auto"/>
              </w:rPr>
              <w:t>Nov 30, 2024</w:t>
            </w:r>
          </w:p>
        </w:tc>
        <w:tc>
          <w:tcPr>
            <w:tcW w:w="240" w:type="dxa"/>
            <w:vAlign w:val="bottom"/>
          </w:tcPr>
          <w:p>
            <w:pPr>
              <w:spacing w:after="0"/>
              <w:rPr>
                <w:sz w:val="13"/>
                <w:szCs w:val="13"/>
                <w:color w:val="auto"/>
              </w:rPr>
            </w:pPr>
          </w:p>
        </w:tc>
        <w:tc>
          <w:tcPr>
            <w:tcW w:w="112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rPr>
              <w:t>Nov 30, 2024</w:t>
            </w:r>
          </w:p>
        </w:tc>
        <w:tc>
          <w:tcPr>
            <w:tcW w:w="240" w:type="dxa"/>
            <w:vAlign w:val="bottom"/>
          </w:tcPr>
          <w:p>
            <w:pPr>
              <w:spacing w:after="0"/>
              <w:rPr>
                <w:sz w:val="13"/>
                <w:szCs w:val="13"/>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Nov 30, 2024</w:t>
            </w:r>
          </w:p>
        </w:tc>
        <w:tc>
          <w:tcPr>
            <w:tcW w:w="100" w:type="dxa"/>
            <w:vAlign w:val="bottom"/>
          </w:tcPr>
          <w:p>
            <w:pPr>
              <w:spacing w:after="0"/>
              <w:rPr>
                <w:sz w:val="13"/>
                <w:szCs w:val="13"/>
                <w:color w:val="auto"/>
              </w:rPr>
            </w:pPr>
          </w:p>
        </w:tc>
        <w:tc>
          <w:tcPr>
            <w:tcW w:w="144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 Growth</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 Growth</w:t>
            </w:r>
          </w:p>
        </w:tc>
        <w:tc>
          <w:tcPr>
            <w:tcW w:w="0" w:type="dxa"/>
            <w:vAlign w:val="bottom"/>
          </w:tcPr>
          <w:p>
            <w:pPr>
              <w:spacing w:after="0"/>
              <w:rPr>
                <w:sz w:val="1"/>
                <w:szCs w:val="1"/>
                <w:color w:val="auto"/>
              </w:rPr>
            </w:pPr>
          </w:p>
        </w:tc>
      </w:tr>
      <w:tr>
        <w:trPr>
          <w:trHeight w:val="153"/>
        </w:trPr>
        <w:tc>
          <w:tcPr>
            <w:tcW w:w="32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Sales</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Med Tech</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70,914</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59,523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59,523</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19.1%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19.1%</w:t>
            </w: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Med Device</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84,230</w:t>
            </w:r>
          </w:p>
        </w:tc>
        <w:tc>
          <w:tcPr>
            <w:tcW w:w="120" w:type="dxa"/>
            <w:vAlign w:val="bottom"/>
          </w:tcPr>
          <w:p>
            <w:pPr>
              <w:spacing w:after="0"/>
              <w:rPr>
                <w:sz w:val="12"/>
                <w:szCs w:val="12"/>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80,813</w:t>
            </w:r>
          </w:p>
        </w:tc>
        <w:tc>
          <w:tcPr>
            <w:tcW w:w="240" w:type="dxa"/>
            <w:vAlign w:val="bottom"/>
          </w:tcPr>
          <w:p>
            <w:pPr>
              <w:spacing w:after="0"/>
              <w:rPr>
                <w:sz w:val="12"/>
                <w:szCs w:val="12"/>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179</w:t>
            </w:r>
          </w:p>
        </w:tc>
        <w:tc>
          <w:tcPr>
            <w:tcW w:w="2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80,992</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155,144</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140,336</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179</w:t>
            </w:r>
          </w:p>
        </w:tc>
        <w:tc>
          <w:tcPr>
            <w:tcW w:w="2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140,515</w:t>
            </w:r>
          </w:p>
        </w:tc>
        <w:tc>
          <w:tcPr>
            <w:tcW w:w="1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10.6%</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10.4%</w:t>
            </w: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United States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134,050</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122,159</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122,169</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9.7%</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International</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21,094</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18,177</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169</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18,346</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16.0%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15.0%</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155,144</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140,336</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179</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140,515</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8" w:right="280" w:hanging="8"/>
        <w:spacing w:after="0" w:line="259" w:lineRule="auto"/>
        <w:tabs>
          <w:tab w:leader="none" w:pos="17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six months ended November 30,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gridSpan w:val="6"/>
          </w:tcPr>
          <w:p>
            <w:pPr>
              <w:ind w:left="980"/>
              <w:spacing w:after="0"/>
              <w:rPr>
                <w:sz w:val="20"/>
                <w:szCs w:val="20"/>
                <w:color w:val="auto"/>
              </w:rPr>
            </w:pPr>
            <w:r>
              <w:rPr>
                <w:rFonts w:ascii="Times New Roman" w:cs="Times New Roman" w:eastAsia="Times New Roman" w:hAnsi="Times New Roman"/>
                <w:sz w:val="12"/>
                <w:szCs w:val="12"/>
                <w:b w:val="1"/>
                <w:bCs w:val="1"/>
                <w:color w:val="auto"/>
              </w:rPr>
              <w:t>GROSS MARGIN BY PRODUCT CATEGORY</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2"/>
                <w:szCs w:val="12"/>
                <w:color w:val="auto"/>
              </w:rPr>
              <w:t>Six Months Ended</w:t>
            </w: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center"/>
              <w:ind w:right="181"/>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341"/>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3"/>
                <w:szCs w:val="13"/>
                <w:color w:val="auto"/>
              </w:rPr>
            </w:pPr>
          </w:p>
        </w:tc>
        <w:tc>
          <w:tcPr>
            <w:tcW w:w="1120" w:type="dxa"/>
            <w:vAlign w:val="bottom"/>
          </w:tcPr>
          <w:p>
            <w:pPr>
              <w:jc w:val="center"/>
              <w:ind w:right="181"/>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240" w:type="dxa"/>
            <w:vAlign w:val="bottom"/>
          </w:tcPr>
          <w:p>
            <w:pPr>
              <w:spacing w:after="0"/>
              <w:rPr>
                <w:sz w:val="13"/>
                <w:szCs w:val="13"/>
                <w:color w:val="auto"/>
              </w:rPr>
            </w:pPr>
          </w:p>
        </w:tc>
        <w:tc>
          <w:tcPr>
            <w:tcW w:w="11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Pro Forma</w:t>
            </w:r>
          </w:p>
        </w:tc>
        <w:tc>
          <w:tcPr>
            <w:tcW w:w="100" w:type="dxa"/>
            <w:vAlign w:val="bottom"/>
          </w:tcPr>
          <w:p>
            <w:pPr>
              <w:spacing w:after="0"/>
              <w:rPr>
                <w:sz w:val="13"/>
                <w:szCs w:val="13"/>
                <w:color w:val="auto"/>
              </w:rPr>
            </w:pPr>
          </w:p>
        </w:tc>
        <w:tc>
          <w:tcPr>
            <w:tcW w:w="144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rPr>
              <w:t>Actual</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r>
      <w:tr>
        <w:trPr>
          <w:trHeight w:val="155"/>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Nov 30, 2025</w:t>
            </w:r>
          </w:p>
        </w:tc>
        <w:tc>
          <w:tcPr>
            <w:tcW w:w="120" w:type="dxa"/>
            <w:vAlign w:val="bottom"/>
          </w:tcPr>
          <w:p>
            <w:pPr>
              <w:spacing w:after="0"/>
              <w:rPr>
                <w:sz w:val="13"/>
                <w:szCs w:val="13"/>
                <w:color w:val="auto"/>
              </w:rPr>
            </w:pPr>
          </w:p>
        </w:tc>
        <w:tc>
          <w:tcPr>
            <w:tcW w:w="1220" w:type="dxa"/>
            <w:vAlign w:val="bottom"/>
          </w:tcPr>
          <w:p>
            <w:pPr>
              <w:jc w:val="right"/>
              <w:ind w:right="381"/>
              <w:spacing w:after="0"/>
              <w:rPr>
                <w:sz w:val="20"/>
                <w:szCs w:val="20"/>
                <w:color w:val="auto"/>
              </w:rPr>
            </w:pPr>
            <w:r>
              <w:rPr>
                <w:rFonts w:ascii="Times New Roman" w:cs="Times New Roman" w:eastAsia="Times New Roman" w:hAnsi="Times New Roman"/>
                <w:sz w:val="12"/>
                <w:szCs w:val="12"/>
                <w:color w:val="auto"/>
              </w:rPr>
              <w:t>Nov 30, 2024</w:t>
            </w:r>
          </w:p>
        </w:tc>
        <w:tc>
          <w:tcPr>
            <w:tcW w:w="160" w:type="dxa"/>
            <w:vAlign w:val="bottom"/>
          </w:tcPr>
          <w:p>
            <w:pPr>
              <w:spacing w:after="0"/>
              <w:rPr>
                <w:sz w:val="13"/>
                <w:szCs w:val="13"/>
                <w:color w:val="auto"/>
              </w:rPr>
            </w:pPr>
          </w:p>
        </w:tc>
        <w:tc>
          <w:tcPr>
            <w:tcW w:w="1120" w:type="dxa"/>
            <w:vAlign w:val="bottom"/>
          </w:tcPr>
          <w:p>
            <w:pPr>
              <w:jc w:val="center"/>
              <w:ind w:right="201"/>
              <w:spacing w:after="0"/>
              <w:rPr>
                <w:sz w:val="20"/>
                <w:szCs w:val="20"/>
                <w:color w:val="auto"/>
              </w:rPr>
            </w:pPr>
            <w:r>
              <w:rPr>
                <w:rFonts w:ascii="Times New Roman" w:cs="Times New Roman" w:eastAsia="Times New Roman" w:hAnsi="Times New Roman"/>
                <w:sz w:val="12"/>
                <w:szCs w:val="12"/>
                <w:color w:val="auto"/>
              </w:rPr>
              <w:t>Nov 30, 2024</w:t>
            </w:r>
          </w:p>
        </w:tc>
        <w:tc>
          <w:tcPr>
            <w:tcW w:w="240" w:type="dxa"/>
            <w:vAlign w:val="bottom"/>
          </w:tcPr>
          <w:p>
            <w:pPr>
              <w:spacing w:after="0"/>
              <w:rPr>
                <w:sz w:val="13"/>
                <w:szCs w:val="13"/>
                <w:color w:val="auto"/>
              </w:rPr>
            </w:pP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Nov 30, 2024</w:t>
            </w:r>
          </w:p>
        </w:tc>
        <w:tc>
          <w:tcPr>
            <w:tcW w:w="100" w:type="dxa"/>
            <w:vAlign w:val="bottom"/>
          </w:tcPr>
          <w:p>
            <w:pPr>
              <w:spacing w:after="0"/>
              <w:rPr>
                <w:sz w:val="13"/>
                <w:szCs w:val="13"/>
                <w:color w:val="auto"/>
              </w:rPr>
            </w:pPr>
          </w:p>
        </w:tc>
        <w:tc>
          <w:tcPr>
            <w:tcW w:w="144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 Change</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 Change</w:t>
            </w:r>
          </w:p>
        </w:tc>
      </w:tr>
      <w:tr>
        <w:trPr>
          <w:trHeight w:val="142"/>
        </w:trPr>
        <w:tc>
          <w:tcPr>
            <w:tcW w:w="3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221"/>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Med Tech</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45,207</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37,810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37,810</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19.6%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19.6%</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4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63.7%</w:t>
            </w:r>
          </w:p>
        </w:tc>
        <w:tc>
          <w:tcPr>
            <w:tcW w:w="120" w:type="dxa"/>
            <w:vAlign w:val="bottom"/>
          </w:tcPr>
          <w:p>
            <w:pPr>
              <w:spacing w:after="0"/>
              <w:rPr>
                <w:sz w:val="12"/>
                <w:szCs w:val="12"/>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63.5%</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rPr>
                <w:sz w:val="12"/>
                <w:szCs w:val="12"/>
                <w:color w:val="auto"/>
              </w:rPr>
            </w:pPr>
          </w:p>
        </w:tc>
        <w:tc>
          <w:tcPr>
            <w:tcW w:w="1140" w:type="dxa"/>
            <w:vAlign w:val="bottom"/>
            <w:gridSpan w:val="2"/>
            <w:shd w:val="clear" w:color="auto" w:fill="CCEEFF"/>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Med Device</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41,433</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38,820</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29</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38,849</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49.2%</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48.0%</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40" w:type="dxa"/>
            <w:vAlign w:val="bottom"/>
            <w:gridSpan w:val="2"/>
          </w:tcPr>
          <w:p>
            <w:pPr>
              <w:spacing w:after="0"/>
              <w:rPr>
                <w:sz w:val="12"/>
                <w:szCs w:val="12"/>
                <w:color w:val="auto"/>
              </w:rPr>
            </w:pPr>
          </w:p>
        </w:tc>
        <w:tc>
          <w:tcPr>
            <w:tcW w:w="1140" w:type="dxa"/>
            <w:vAlign w:val="bottom"/>
            <w:gridSpan w:val="2"/>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86,640</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76,630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29</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76,659</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13.0%</w:t>
            </w:r>
          </w:p>
        </w:tc>
      </w:tr>
      <w:tr>
        <w:trPr>
          <w:trHeight w:val="155"/>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4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55.8%</w:t>
            </w:r>
          </w:p>
        </w:tc>
        <w:tc>
          <w:tcPr>
            <w:tcW w:w="120" w:type="dxa"/>
            <w:vAlign w:val="bottom"/>
          </w:tcPr>
          <w:p>
            <w:pPr>
              <w:spacing w:after="0"/>
              <w:rPr>
                <w:sz w:val="13"/>
                <w:szCs w:val="13"/>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54.6%</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2" w:lineRule="exact"/>
        <w:rPr>
          <w:sz w:val="20"/>
          <w:szCs w:val="20"/>
          <w:color w:val="auto"/>
        </w:rPr>
      </w:pPr>
    </w:p>
    <w:p>
      <w:pPr>
        <w:ind w:left="8" w:right="280" w:hanging="8"/>
        <w:spacing w:after="0" w:line="259" w:lineRule="auto"/>
        <w:tabs>
          <w:tab w:leader="none" w:pos="17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six months ended November 30,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4"/>
        </w:trPr>
        <w:tc>
          <w:tcPr>
            <w:tcW w:w="3280" w:type="dxa"/>
            <w:vAlign w:val="bottom"/>
          </w:tcPr>
          <w:p>
            <w:pPr>
              <w:spacing w:after="0"/>
              <w:rPr>
                <w:sz w:val="12"/>
                <w:szCs w:val="12"/>
                <w:color w:val="auto"/>
              </w:rPr>
            </w:pPr>
          </w:p>
        </w:tc>
        <w:tc>
          <w:tcPr>
            <w:tcW w:w="5580" w:type="dxa"/>
            <w:vAlign w:val="bottom"/>
            <w:gridSpan w:val="2"/>
          </w:tcPr>
          <w:p>
            <w:pPr>
              <w:jc w:val="center"/>
              <w:ind w:right="786"/>
              <w:spacing w:after="0"/>
              <w:rPr>
                <w:sz w:val="20"/>
                <w:szCs w:val="20"/>
                <w:color w:val="auto"/>
              </w:rPr>
            </w:pPr>
            <w:r>
              <w:rPr>
                <w:rFonts w:ascii="Times New Roman" w:cs="Times New Roman" w:eastAsia="Times New Roman" w:hAnsi="Times New Roman"/>
                <w:sz w:val="12"/>
                <w:szCs w:val="12"/>
                <w:b w:val="1"/>
                <w:bCs w:val="1"/>
                <w:color w:val="auto"/>
                <w:w w:val="99"/>
              </w:rPr>
              <w:t>ANGIODYNAMICS, INC. AND SUBSIDIARIES</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5580" w:type="dxa"/>
            <w:vAlign w:val="bottom"/>
            <w:gridSpan w:val="2"/>
          </w:tcPr>
          <w:p>
            <w:pPr>
              <w:jc w:val="center"/>
              <w:ind w:right="806"/>
              <w:spacing w:after="0"/>
              <w:rPr>
                <w:sz w:val="20"/>
                <w:szCs w:val="20"/>
                <w:color w:val="auto"/>
              </w:rPr>
            </w:pPr>
            <w:r>
              <w:rPr>
                <w:rFonts w:ascii="Times New Roman" w:cs="Times New Roman" w:eastAsia="Times New Roman" w:hAnsi="Times New Roman"/>
                <w:sz w:val="12"/>
                <w:szCs w:val="12"/>
                <w:b w:val="1"/>
                <w:bCs w:val="1"/>
                <w:color w:val="auto"/>
                <w:w w:val="99"/>
              </w:rPr>
              <w:t>CONSOLIDATED BALANCE SHEETS</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5580" w:type="dxa"/>
            <w:vAlign w:val="bottom"/>
            <w:gridSpan w:val="2"/>
          </w:tcPr>
          <w:p>
            <w:pPr>
              <w:jc w:val="center"/>
              <w:ind w:right="806"/>
              <w:spacing w:after="0"/>
              <w:rPr>
                <w:sz w:val="20"/>
                <w:szCs w:val="20"/>
                <w:color w:val="auto"/>
              </w:rPr>
            </w:pPr>
            <w:r>
              <w:rPr>
                <w:rFonts w:ascii="Times New Roman" w:cs="Times New Roman" w:eastAsia="Times New Roman" w:hAnsi="Times New Roman"/>
                <w:sz w:val="12"/>
                <w:szCs w:val="12"/>
                <w:color w:val="auto"/>
                <w:w w:val="99"/>
              </w:rPr>
              <w:t>(in thousands)</w:t>
            </w: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auto"/>
              </w:rPr>
              <w:t>Nov 30, 2025</w:t>
            </w:r>
          </w:p>
        </w:tc>
        <w:tc>
          <w:tcPr>
            <w:tcW w:w="140" w:type="dxa"/>
            <w:vAlign w:val="bottom"/>
          </w:tcPr>
          <w:p>
            <w:pPr>
              <w:spacing w:after="0"/>
              <w:rPr>
                <w:sz w:val="13"/>
                <w:szCs w:val="13"/>
                <w:color w:val="auto"/>
              </w:rPr>
            </w:pP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2"/>
                <w:szCs w:val="12"/>
                <w:color w:val="auto"/>
              </w:rPr>
              <w:t>May 31, 2025</w:t>
            </w: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5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(unaudited)</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rPr>
              <w:t>(audited)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80" w:type="dxa"/>
            <w:vAlign w:val="bottom"/>
            <w:vMerge w:val="continue"/>
          </w:tcPr>
          <w:p>
            <w:pPr>
              <w:spacing w:after="0"/>
              <w:rPr>
                <w:sz w:val="10"/>
                <w:szCs w:val="10"/>
                <w:color w:val="auto"/>
              </w:rPr>
            </w:pPr>
          </w:p>
        </w:tc>
        <w:tc>
          <w:tcPr>
            <w:tcW w:w="5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5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41,638</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55,893</w:t>
            </w: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receivable, net</w:t>
            </w:r>
          </w:p>
        </w:tc>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44,434</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42,890</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Inventories</w:t>
            </w:r>
          </w:p>
        </w:tc>
        <w:tc>
          <w:tcPr>
            <w:tcW w:w="5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65,569</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62,006</w:t>
            </w: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Prepaid expenses and other</w:t>
            </w:r>
          </w:p>
        </w:tc>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7,535</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current assets</w:t>
            </w:r>
          </w:p>
        </w:tc>
        <w:tc>
          <w:tcPr>
            <w:tcW w:w="54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161,349</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168,324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30,527</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32,300</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5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0"/>
              </w:rPr>
              <w:t>11,073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10,404</w:t>
            </w:r>
          </w:p>
        </w:tc>
        <w:tc>
          <w:tcPr>
            <w:tcW w:w="0" w:type="dxa"/>
            <w:vAlign w:val="bottom"/>
          </w:tcPr>
          <w:p>
            <w:pPr>
              <w:spacing w:after="0"/>
              <w:rPr>
                <w:sz w:val="1"/>
                <w:szCs w:val="1"/>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66,732</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69,116</w:t>
            </w: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assets</w:t>
            </w:r>
          </w:p>
        </w:tc>
        <w:tc>
          <w:tcPr>
            <w:tcW w:w="54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269,681</w:t>
            </w:r>
          </w:p>
        </w:tc>
        <w:tc>
          <w:tcPr>
            <w:tcW w:w="2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280,144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54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5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payable</w:t>
            </w:r>
          </w:p>
        </w:tc>
        <w:tc>
          <w:tcPr>
            <w:tcW w:w="558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35,390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33,291</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Accrued liabilities</w:t>
            </w:r>
          </w:p>
        </w:tc>
        <w:tc>
          <w:tcPr>
            <w:tcW w:w="5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29,853</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35,518</w:t>
            </w: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7,388</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54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0"/>
              </w:rPr>
              <w:t>71,963</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76,197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4,073</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5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17,054</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16,904</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Total liabilities</w:t>
            </w:r>
          </w:p>
        </w:tc>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93,348</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97,174</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5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176,333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182,970</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54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269,681</w:t>
            </w:r>
          </w:p>
        </w:tc>
        <w:tc>
          <w:tcPr>
            <w:tcW w:w="2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280,144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420" w:type="dxa"/>
            <w:vAlign w:val="bottom"/>
            <w:vMerge w:val="restart"/>
          </w:tcPr>
          <w:p>
            <w:pPr>
              <w:jc w:val="center"/>
              <w:ind w:right="622"/>
              <w:spacing w:after="0"/>
              <w:rPr>
                <w:sz w:val="20"/>
                <w:szCs w:val="20"/>
                <w:color w:val="auto"/>
              </w:rPr>
            </w:pPr>
            <w:r>
              <w:rPr>
                <w:rFonts w:ascii="Times New Roman" w:cs="Times New Roman" w:eastAsia="Times New Roman" w:hAnsi="Times New Roman"/>
                <w:sz w:val="10"/>
                <w:szCs w:val="10"/>
                <w:color w:val="auto"/>
                <w:w w:val="99"/>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28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2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5"/>
          </w:tcPr>
          <w:p>
            <w:pPr>
              <w:jc w:val="right"/>
              <w:ind w:right="960"/>
              <w:spacing w:after="0"/>
              <w:rPr>
                <w:sz w:val="20"/>
                <w:szCs w:val="20"/>
                <w:color w:val="auto"/>
              </w:rPr>
            </w:pPr>
            <w:r>
              <w:rPr>
                <w:rFonts w:ascii="Times New Roman" w:cs="Times New Roman" w:eastAsia="Times New Roman" w:hAnsi="Times New Roman"/>
                <w:sz w:val="12"/>
                <w:szCs w:val="12"/>
                <w:color w:val="auto"/>
              </w:rPr>
              <w:t>Three Months Ended</w:t>
            </w:r>
          </w:p>
        </w:tc>
        <w:tc>
          <w:tcPr>
            <w:tcW w:w="140" w:type="dxa"/>
            <w:vAlign w:val="bottom"/>
          </w:tcPr>
          <w:p>
            <w:pPr>
              <w:spacing w:after="0"/>
              <w:rPr>
                <w:sz w:val="13"/>
                <w:szCs w:val="13"/>
                <w:color w:val="auto"/>
              </w:rPr>
            </w:pPr>
          </w:p>
        </w:tc>
        <w:tc>
          <w:tcPr>
            <w:tcW w:w="2440" w:type="dxa"/>
            <w:vAlign w:val="bottom"/>
            <w:gridSpan w:val="5"/>
          </w:tcPr>
          <w:p>
            <w:pPr>
              <w:jc w:val="right"/>
              <w:ind w:right="900"/>
              <w:spacing w:after="0"/>
              <w:rPr>
                <w:sz w:val="20"/>
                <w:szCs w:val="20"/>
                <w:color w:val="auto"/>
              </w:rPr>
            </w:pPr>
            <w:r>
              <w:rPr>
                <w:rFonts w:ascii="Times New Roman" w:cs="Times New Roman" w:eastAsia="Times New Roman" w:hAnsi="Times New Roman"/>
                <w:sz w:val="12"/>
                <w:szCs w:val="12"/>
                <w:color w:val="auto"/>
              </w:rPr>
              <w:t>Six Months Ended</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Nov 30, 2025</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Nov 30, 2024</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Nov 30, 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Nov 30, 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(unaudited)</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(unaudited)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4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(6,350)</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(10,738)</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(17,253)</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(23,536)</w:t>
            </w:r>
          </w:p>
        </w:tc>
        <w:tc>
          <w:tcPr>
            <w:tcW w:w="0" w:type="dxa"/>
            <w:vAlign w:val="bottom"/>
          </w:tcPr>
          <w:p>
            <w:pPr>
              <w:spacing w:after="0"/>
              <w:rPr>
                <w:sz w:val="1"/>
                <w:szCs w:val="1"/>
                <w:color w:val="auto"/>
              </w:rPr>
            </w:pPr>
          </w:p>
        </w:tc>
      </w:tr>
      <w:tr>
        <w:trPr>
          <w:trHeight w:val="144"/>
        </w:trPr>
        <w:tc>
          <w:tcPr>
            <w:tcW w:w="4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(used in) operating activities: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6,863</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11,767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13,648</w:t>
            </w:r>
          </w:p>
        </w:tc>
        <w:tc>
          <w:tcPr>
            <w:tcW w:w="0" w:type="dxa"/>
            <w:vAlign w:val="bottom"/>
          </w:tcPr>
          <w:p>
            <w:pPr>
              <w:spacing w:after="0"/>
              <w:rPr>
                <w:sz w:val="1"/>
                <w:szCs w:val="1"/>
                <w:color w:val="auto"/>
              </w:rPr>
            </w:pPr>
          </w:p>
        </w:tc>
      </w:tr>
      <w:tr>
        <w:trPr>
          <w:trHeight w:val="144"/>
        </w:trPr>
        <w:tc>
          <w:tcPr>
            <w:tcW w:w="49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Non-cash lease expense</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499</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850</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993</w:t>
            </w: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Non-cash interest expense</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145</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9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Stock based compensation</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2,528</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7,361</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5,733</w:t>
            </w: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156</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232</w:t>
            </w:r>
          </w:p>
        </w:tc>
        <w:tc>
          <w:tcPr>
            <w:tcW w:w="0" w:type="dxa"/>
            <w:vAlign w:val="bottom"/>
          </w:tcPr>
          <w:p>
            <w:pPr>
              <w:spacing w:after="0"/>
              <w:rPr>
                <w:sz w:val="1"/>
                <w:szCs w:val="1"/>
                <w:color w:val="auto"/>
              </w:rPr>
            </w:pPr>
          </w:p>
        </w:tc>
      </w:tr>
      <w:tr>
        <w:trPr>
          <w:trHeight w:val="144"/>
        </w:trPr>
        <w:tc>
          <w:tcPr>
            <w:tcW w:w="49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Deferred income taxes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(48)</w:t>
            </w:r>
          </w:p>
        </w:tc>
        <w:tc>
          <w:tcPr>
            <w:tcW w:w="18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(249)</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(64)</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(588)</w:t>
            </w: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Change in accounts receivable allowances</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(235)</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118</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388</w:t>
            </w:r>
          </w:p>
        </w:tc>
        <w:tc>
          <w:tcPr>
            <w:tcW w:w="0" w:type="dxa"/>
            <w:vAlign w:val="bottom"/>
          </w:tcPr>
          <w:p>
            <w:pPr>
              <w:spacing w:after="0"/>
              <w:rPr>
                <w:sz w:val="1"/>
                <w:szCs w:val="1"/>
                <w:color w:val="auto"/>
              </w:rPr>
            </w:pPr>
          </w:p>
        </w:tc>
      </w:tr>
      <w:tr>
        <w:trPr>
          <w:trHeight w:val="144"/>
        </w:trPr>
        <w:tc>
          <w:tcPr>
            <w:tcW w:w="49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Fixed and intangible asset disposals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280</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Other</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502</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119</w:t>
            </w:r>
          </w:p>
        </w:tc>
        <w:tc>
          <w:tcPr>
            <w:tcW w:w="0" w:type="dxa"/>
            <w:vAlign w:val="bottom"/>
          </w:tcPr>
          <w:p>
            <w:pPr>
              <w:spacing w:after="0"/>
              <w:rPr>
                <w:sz w:val="1"/>
                <w:szCs w:val="1"/>
                <w:color w:val="auto"/>
              </w:rPr>
            </w:pPr>
          </w:p>
        </w:tc>
      </w:tr>
      <w:tr>
        <w:trPr>
          <w:trHeight w:val="144"/>
        </w:trPr>
        <w:tc>
          <w:tcPr>
            <w:tcW w:w="49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Accounts receivable</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(1,568)</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(3,734)</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(1,429)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44"/>
        </w:trPr>
        <w:tc>
          <w:tcPr>
            <w:tcW w:w="49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Inventories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(3,281)</w:t>
            </w:r>
          </w:p>
        </w:tc>
        <w:tc>
          <w:tcPr>
            <w:tcW w:w="18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(1,250)</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(3,473)</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(5,303)</w:t>
            </w: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Prepaid expenses and other</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764</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(2,295)</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44"/>
        </w:trPr>
        <w:tc>
          <w:tcPr>
            <w:tcW w:w="49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Accounts payable, accrued and other liabilities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7,479</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(7,517)</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(7,503)</w:t>
            </w:r>
          </w:p>
        </w:tc>
        <w:tc>
          <w:tcPr>
            <w:tcW w:w="0" w:type="dxa"/>
            <w:vAlign w:val="bottom"/>
          </w:tcPr>
          <w:p>
            <w:pPr>
              <w:spacing w:after="0"/>
              <w:rPr>
                <w:sz w:val="1"/>
                <w:szCs w:val="1"/>
                <w:color w:val="auto"/>
              </w:rPr>
            </w:pPr>
          </w:p>
        </w:tc>
      </w:tr>
      <w:tr>
        <w:trPr>
          <w:trHeight w:val="142"/>
        </w:trPr>
        <w:tc>
          <w:tcPr>
            <w:tcW w:w="4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b w:val="1"/>
                <w:bCs w:val="1"/>
                <w:color w:val="auto"/>
              </w:rPr>
              <w:t>Net cash provided by (used in) operating activities</w:t>
            </w:r>
          </w:p>
        </w:tc>
        <w:tc>
          <w:tcPr>
            <w:tcW w:w="10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4,661</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2,473</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(11,253)</w:t>
            </w: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0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(422)</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(797)</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(1,153)</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(1,889)</w:t>
            </w:r>
          </w:p>
        </w:tc>
        <w:tc>
          <w:tcPr>
            <w:tcW w:w="0" w:type="dxa"/>
            <w:vAlign w:val="bottom"/>
          </w:tcPr>
          <w:p>
            <w:pPr>
              <w:spacing w:after="0"/>
              <w:rPr>
                <w:sz w:val="1"/>
                <w:szCs w:val="1"/>
                <w:color w:val="auto"/>
              </w:rPr>
            </w:pPr>
          </w:p>
        </w:tc>
      </w:tr>
      <w:tr>
        <w:trPr>
          <w:trHeight w:val="144"/>
        </w:trPr>
        <w:tc>
          <w:tcPr>
            <w:tcW w:w="49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Additions to placement and evaluation units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(1,199)</w:t>
            </w:r>
          </w:p>
        </w:tc>
        <w:tc>
          <w:tcPr>
            <w:tcW w:w="18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(1,164)</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(2,019)</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(2,477)</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10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(1,621)</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(1,961)</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(3,172)</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(4,366)</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Principal payments on finance arrangements</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(92)</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(183)</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9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Repurchase of common stock</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(1,118)</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(1,670)</w:t>
            </w: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Proceeds from exercise of stock options and employee stock purchase plan</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tcPr>
          <w:p>
            <w:pPr>
              <w:ind w:left="460"/>
              <w:spacing w:after="0"/>
              <w:rPr>
                <w:sz w:val="20"/>
                <w:szCs w:val="20"/>
                <w:color w:val="auto"/>
              </w:rPr>
            </w:pPr>
            <w:r>
              <w:rPr>
                <w:rFonts w:ascii="Times New Roman" w:cs="Times New Roman" w:eastAsia="Times New Roman" w:hAnsi="Times New Roman"/>
                <w:sz w:val="12"/>
                <w:szCs w:val="12"/>
                <w:b w:val="1"/>
                <w:bCs w:val="1"/>
                <w:color w:val="auto"/>
              </w:rPr>
              <w:t>Net cash provided by (used in) financing activities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(92)</w:t>
            </w:r>
          </w:p>
        </w:tc>
        <w:tc>
          <w:tcPr>
            <w:tcW w:w="18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(1,123)</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(1,632)</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10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Increase (decrease) in cash and cash equivalents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(916)</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(14,255)</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(21,967)</w:t>
            </w:r>
          </w:p>
        </w:tc>
        <w:tc>
          <w:tcPr>
            <w:tcW w:w="0" w:type="dxa"/>
            <w:vAlign w:val="bottom"/>
          </w:tcPr>
          <w:p>
            <w:pPr>
              <w:spacing w:after="0"/>
              <w:rPr>
                <w:sz w:val="1"/>
                <w:szCs w:val="1"/>
                <w:color w:val="auto"/>
              </w:rPr>
            </w:pPr>
          </w:p>
        </w:tc>
      </w:tr>
      <w:tr>
        <w:trPr>
          <w:trHeight w:val="144"/>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38,762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55,005</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55,893</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76,056</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Cash and cash equivalents at end of period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41,638</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54,089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41,638</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54,089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60" w:type="dxa"/>
            <w:vAlign w:val="bottom"/>
            <w:vMerge w:val="restart"/>
          </w:tcPr>
          <w:p>
            <w:pPr>
              <w:jc w:val="right"/>
              <w:ind w:right="244"/>
              <w:spacing w:after="0"/>
              <w:rPr>
                <w:sz w:val="20"/>
                <w:szCs w:val="20"/>
                <w:color w:val="auto"/>
              </w:rPr>
            </w:pPr>
            <w:r>
              <w:rPr>
                <w:rFonts w:ascii="Times New Roman" w:cs="Times New Roman" w:eastAsia="Times New Roman" w:hAnsi="Times New Roman"/>
                <w:sz w:val="10"/>
                <w:szCs w:val="10"/>
                <w:color w:val="auto"/>
              </w:rPr>
              <w:t>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9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9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21" w:name="page22"/>
    <w:bookmarkEnd w:id="21"/>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54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2026-01-06T07:17:29Z</dcterms:created>
  <dcterms:modified xsi:type="dcterms:W3CDTF">2026-01-06T07:17:29Z</dcterms:modified>
</cp:coreProperties>
</file>