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Trowbridge Stephen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 PLAZA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ANGIODYNAMICS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ANGO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7"/>
          <w:szCs w:val="17"/>
          <w:color w:val="0000FF"/>
        </w:rPr>
        <w:t>EVP and CFO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LATHAM</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12110</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10/28/2026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1,720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12.17</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304,076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10/29/2026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72"/>
              <w:spacing w:after="0"/>
              <w:rPr>
                <w:sz w:val="20"/>
                <w:szCs w:val="20"/>
                <w:color w:val="auto"/>
              </w:rPr>
            </w:pPr>
            <w:r>
              <w:rPr>
                <w:rFonts w:ascii="Times New Roman" w:cs="Times New Roman" w:eastAsia="Times New Roman" w:hAnsi="Times New Roman"/>
                <w:sz w:val="17"/>
                <w:szCs w:val="17"/>
                <w:color w:val="0000FF"/>
              </w:rPr>
              <w:t>23,615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12.27</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280,461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$12.15 to $12.20, inclusive. The reporting person has provided to AngioDynamics, Inc., and undertakes to provide to any security holder of AngioDynamics, Inc., or the staff of the Securities and Exchange Commission, upon request, full information regarding the number of shares purchased at each separate price within the range set forth in this footnote 1.</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$12.07 to $12.35 inclusive. The reporting person has provided to AngioDynamics, Inc., and undertakes to provide to any security holder of AngioDynamics, Inc., or the staff of the Securities and Exchange Commission, upon request, full information regarding the number of shares purchased at each separate price within the range set forth in this footnote 2.</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Lawrence T. Weiss,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10/30/2026</w:t>
            </w:r>
          </w:p>
        </w:tc>
        <w:tc>
          <w:tcPr>
            <w:tcW w:w="0" w:type="dxa"/>
            <w:vAlign w:val="bottom"/>
          </w:tcPr>
          <w:p>
            <w:pPr>
              <w:spacing w:after="0"/>
              <w:rPr>
                <w:sz w:val="1"/>
                <w:szCs w:val="1"/>
                <w:color w:val="auto"/>
              </w:rPr>
            </w:pPr>
          </w:p>
        </w:tc>
      </w:tr>
      <w:tr>
        <w:trPr>
          <w:trHeight w:val="87"/>
        </w:trPr>
        <w:tc>
          <w:tcPr>
            <w:tcW w:w="17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3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60" w:type="dxa"/>
            <w:vAlign w:val="bottom"/>
            <w:tcBorders>
              <w:top w:val="single" w:sz="8" w:color="auto"/>
            </w:tcBorders>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4250" TargetMode="External"/><Relationship Id="rId14" Type="http://schemas.openxmlformats.org/officeDocument/2006/relationships/hyperlink" Target="http://www.sec.gov/cgi-bin/browse-edgar?action=getcompany&amp;CIK=00012751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2026-10-30T15:27:14Z</dcterms:created>
  <dcterms:modified xsi:type="dcterms:W3CDTF">2026-10-30T15:27:14Z</dcterms:modified>
</cp:coreProperties>
</file>