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Weiss Lawrence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21,288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112,618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21,288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acquisition of 21,288 shares of common stock ("Common Stock") of AngioDynamics, Inc. represents 21,288 restricted stock units, each of which represents a contingent right to receive one share of Common Stock. These restricted stock units vest in four equal annual installments beginning on July 15, 2027, such that 25% of the restricted stock units will vest on each of July 15,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The target number of shares of Common Stock is set forth in columns 5 and 7 of Table II. Between 0% and 200% of the target number will be earned based on total shareholder return relative to a peer group of companies over a three-year performance period (with a potential upward or downward 20% adjustment on the calculated achievement based on total shareholder return relative to a peer group of companies over a three-year performance period (for a total potential payout of up to 240% of the target number in the aggregate)) in accordance with performance metrics as determined by the compensation committee. Any shares that do not vest at the end of the performance period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Weiss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293"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777</Words>
  <Characters>4115</Characters>
  <CharactersWithSpaces>4812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