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21, 2025</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132715</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5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234"/>
        </w:trPr>
        <w:tc>
          <w:tcPr>
            <w:tcW w:w="55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5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14 Plaza Drive</w:t>
            </w:r>
          </w:p>
        </w:tc>
        <w:tc>
          <w:tcPr>
            <w:tcW w:w="3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12110</w:t>
            </w:r>
          </w:p>
        </w:tc>
      </w:tr>
      <w:tr>
        <w:trPr>
          <w:trHeight w:val="220"/>
        </w:trPr>
        <w:tc>
          <w:tcPr>
            <w:tcW w:w="55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Latham, New York</w:t>
            </w:r>
          </w:p>
        </w:tc>
        <w:tc>
          <w:tcPr>
            <w:tcW w:w="3720" w:type="dxa"/>
            <w:vAlign w:val="bottom"/>
          </w:tcPr>
          <w:p>
            <w:pPr>
              <w:spacing w:after="0"/>
              <w:rPr>
                <w:sz w:val="19"/>
                <w:szCs w:val="19"/>
                <w:color w:val="auto"/>
              </w:rPr>
            </w:pPr>
          </w:p>
        </w:tc>
      </w:tr>
      <w:tr>
        <w:trPr>
          <w:trHeight w:val="234"/>
        </w:trPr>
        <w:tc>
          <w:tcPr>
            <w:tcW w:w="55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2020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Lawrence T. Weiss,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 Plaza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New York 12110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1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6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60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6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740" w:space="720"/>
            <w:col w:w="3780"/>
          </w:cols>
          <w:pgMar w:left="320" w:top="225"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with the Securities and Exchange Commission (the “Commission”) by AngioDynamics, Inc., a Delaware corporation (the “Registrant”), in order to register an additional 4,700,000 shares of the Registrant’s common stock, par value $0.01 per share (“Common Stock”), which such additional shares were approved by the Registrant’s shareholders at the Registrant’s annual meetings of shareholders held on November 14, 2023 and November 12, 2024 (the “Approval Dates”), including (i) 2,170,932 available for issuance under the AngioDynamics, Inc. 2020 Equity Incentive Plan (the “2020 Plan”). and (ii) 2,529,068 shares of Common Stock that may be issued and sold upon the vesting and exercise, if applicable, of restricted stock units and options to purchase Common Stock, which such restricted stock units and options were granted to certain employees of the Registrant pursuant to the terms of the 2020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19, 2021, the Registrant filed with the Commission a registration statement on Form S-8 (File No. 333-252209) to register 2,400,000 shares of Common Stock issuable under the 2020 Plan (the “2021 Registration Statement”). On January 6, 2023, the Registrant filed with the Commission a registration statement on Form S-8 (File No. 333-269151) to register 1,950,000 shares of Common Stock issuable under the 2020 Plan (the “2023 Registration Statement”, and together with the 2021 Registration Statement, the “Prior Registration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of the Registrant approved amendments to the 2020 Plan to increase the number of shares of Common Stock issuable under the 2020 Plan to 9,050,000 shares. This Registration Statement is being filed to register the additional 4,700,000 shares of Common Stock issuable under the 2020 Plan as approved by the shareholders of the Registrant on the Approval Dates.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Registration Statement includes a prospectus (the “Reoffer Prospectus”) prepared in accordance with General Instruction C and in accordance with the requirements of Part I of Form S-3. This Reoffer Prospectus may be used for reoffers and resales of “restricted securities” and “control securities” (as such terms are defined in Section C of the General Instructions to Form S-8) by the selling stockholders and may be used on a continuous or delayed basis in the future, by the selling stockholders. As specified in General Instruction C of Form S-8, the amount of securities to be reoffered or resold under the reoffer prospectus by each selling stockholder and any other person with whom he or she is acting in concert for the purpose of selling the Company’s securities, may not exceed, during any three-month period, the amount specified in Rule 144(e) under the Securities Act. The registration of the shares of our Common Stock covered by the Reoffer Prospectus does not necessarily mean that any shares of our Common Stock will be sold by the selling stockholders.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the Prior Registration Statements on Form S-8 concerning the 2020 Plan are incorporated herein by reference, except to the extent supplemented, amended or superseded by the information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employees as specified by Rule 428(b)(1) (§230.428(b)(1)). The written statement required by Item 2 of Part I is included in documents that will be delivered to participants in the plan covered by this Registration Statement pursuant to Rule 428(b) of the Securities Act. Such documents need not be filed with the Commission either as part of this Registration Statement or as prospectuses or prospectus supplements pursuant to Rule 424 (§230.424). These documents and the documents incorporated by reference in this Registration Statement pursuant to Item 3 of Part II of this Form, taken together, constitute a prospectus that meets the requirements of Section 10(a) of the Securities Act of 1933, as amended (the “Securities Act”). See Rule 428(a)(1) (§230.428(a)(1)).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an aggregate of 2,529,068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reoffer prospectus relates to the public resale, from time to time, of an aggregate of 2,529,068 shares of AngioDynamics (the “Company”) common stock, $0.01 par value per share (the “Common Stock”), by certain security holders identified herein in the section entitled “Selling Stockholders”. Such Shares have been or may be acquired in connection with awards granted under AngioDynamics, Inc. 2020 Equity Incentive Plan (the “Plan”). You should read this prospectus carefully before you invest in the common stock.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satisfaction of any conditions to vesting of, or exercise of options relating to, the shares of Common Stock offered hereby pursuant to the terms of the relevant agreements, and subject to any applicable restrictions, the Selling Stockholders may from time to time sell, transfer or otherwise dispose of any or all of the shares of Common Stock covered by this Reoffer Prospectus through underwriters or dealers, directly to a purchaser, or through broker-dealers or agents. If underwriters or dealers are used to sell the shares of Common Stock, we will name them and describe their compensation in a prospectus supplement. The shares of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Common Stock for sale. The Selling Stockholders may sell any, all or none of the shares of Common Stock offered by this Reoffer Prospectus. See “Plan of Distribution” beginning on page 5 for more information about how the Selling Stockholders may sell or dispose of the shares of Common Stock covered by this Reoffer Prospectus. The Selling Stockholders will bear all sales commissions and similar expenses. We will bear all expenses of registration incurred in connection with this offering, including any other expenses incurred by us in connection with the registration and offering that are not borne by the Selling Stockholders.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“ANGO.” On October 20, 2025, the last sale price of a share of our Common Stock as reported on the Nasdaq was $11.82 per share.</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substantial risk.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beginning on page 4 of this Reoffer Prospectus for the factors you should consider before buying shares of our Common Stock.</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Reoffer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8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 LOOKING STATEMENTS</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2</w:t>
            </w:r>
          </w:p>
        </w:tc>
      </w:tr>
      <w:tr>
        <w:trPr>
          <w:trHeight w:val="176"/>
        </w:trPr>
        <w:tc>
          <w:tcPr>
            <w:tcW w:w="610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THE COMPANY</w:t>
            </w:r>
          </w:p>
        </w:tc>
        <w:tc>
          <w:tcPr>
            <w:tcW w:w="2560" w:type="dxa"/>
            <w:vAlign w:val="bottom"/>
            <w:tcBorders>
              <w:top w:val="single" w:sz="8" w:color="CCEEFF"/>
            </w:tcBorders>
          </w:tcPr>
          <w:p>
            <w:pPr>
              <w:spacing w:after="0"/>
              <w:rPr>
                <w:sz w:val="15"/>
                <w:szCs w:val="15"/>
                <w:color w:val="auto"/>
              </w:rPr>
            </w:pPr>
          </w:p>
        </w:tc>
        <w:tc>
          <w:tcPr>
            <w:tcW w:w="2580" w:type="dxa"/>
            <w:vAlign w:val="bottom"/>
            <w:tcBorders>
              <w:top w:val="single" w:sz="8" w:color="CCEEFF"/>
            </w:tcBorders>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320" w:type="dxa"/>
            <w:vAlign w:val="bottom"/>
            <w:tcBorders>
              <w:bottom w:val="single" w:sz="8" w:color="CCEEFF"/>
            </w:tcBorders>
            <w:gridSpan w:val="10"/>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176"/>
        </w:trPr>
        <w:tc>
          <w:tcPr>
            <w:tcW w:w="86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580" w:type="dxa"/>
            <w:vAlign w:val="bottom"/>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175"/>
        </w:trPr>
        <w:tc>
          <w:tcPr>
            <w:tcW w:w="31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5520" w:type="dxa"/>
            <w:vAlign w:val="bottom"/>
            <w:tcBorders>
              <w:top w:val="single" w:sz="8" w:color="CCEEFF"/>
            </w:tcBorders>
            <w:gridSpan w:val="4"/>
          </w:tcPr>
          <w:p>
            <w:pPr>
              <w:spacing w:after="0"/>
              <w:rPr>
                <w:sz w:val="15"/>
                <w:szCs w:val="15"/>
                <w:color w:val="auto"/>
              </w:rPr>
            </w:pPr>
          </w:p>
        </w:tc>
        <w:tc>
          <w:tcPr>
            <w:tcW w:w="2580" w:type="dxa"/>
            <w:vAlign w:val="bottom"/>
            <w:tcBorders>
              <w:top w:val="single" w:sz="8" w:color="CCEEFF"/>
            </w:tcBorders>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5</w:t>
            </w:r>
          </w:p>
        </w:tc>
      </w:tr>
      <w:tr>
        <w:trPr>
          <w:trHeight w:val="176"/>
        </w:trPr>
        <w:tc>
          <w:tcPr>
            <w:tcW w:w="21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500" w:type="dxa"/>
            <w:vAlign w:val="bottom"/>
            <w:tcBorders>
              <w:top w:val="single" w:sz="8" w:color="CCEEFF"/>
            </w:tcBorders>
            <w:gridSpan w:val="6"/>
          </w:tcPr>
          <w:p>
            <w:pPr>
              <w:spacing w:after="0"/>
              <w:rPr>
                <w:sz w:val="15"/>
                <w:szCs w:val="15"/>
                <w:color w:val="auto"/>
              </w:rPr>
            </w:pPr>
          </w:p>
        </w:tc>
        <w:tc>
          <w:tcPr>
            <w:tcW w:w="2580" w:type="dxa"/>
            <w:vAlign w:val="bottom"/>
            <w:tcBorders>
              <w:top w:val="single" w:sz="8" w:color="CCEEFF"/>
            </w:tcBorders>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7820" w:type="dxa"/>
            <w:vAlign w:val="bottom"/>
            <w:tcBorders>
              <w:bottom w:val="single" w:sz="8" w:color="CCEEFF"/>
            </w:tcBorders>
            <w:gridSpan w:val="11"/>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175"/>
        </w:trPr>
        <w:tc>
          <w:tcPr>
            <w:tcW w:w="86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580" w:type="dxa"/>
            <w:vAlign w:val="bottom"/>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5"/>
        </w:trPr>
        <w:tc>
          <w:tcPr>
            <w:tcW w:w="8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You should read this prospectus, including all documents incorporated herein by reference, together with additional information described under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obtain the information incorporated by reference without charge by following the instructions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section included elsewhere in this prospectus and our financial information incorporated by reference herein.</w:t>
      </w:r>
    </w:p>
    <w:p>
      <w:pPr>
        <w:spacing w:after="0" w:line="3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AngioDynamics Inc. (“AngioDynamics” or the “Company”) is a leading and transformative medical technology company focused on restoring healthy blood flow in the body's vascular system, expanding cancer treatment options and improving quality of life for patients.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AngioDynamics is a Delaware corporation and was founded in 1988. Our corporate headquarters is located at 14 Plaza Drive, Latham, New York 12110 and our phone number is (518) 795-1400.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and uncertainties described in this Reoffer Prospectus and the documents incorporated herein by reference under the headings “Risk Factors”, including those contained in supplements to this prospectus and elsewhere in our Annual Report on Form 10-K for the year ended May 31, 2025, which is incorporated into this Reoffer Prospectus by reference, and any risk factors set forth in our other filings that we make with the Securities and Exchange Commission (“SEC”) pursuant to Sections 13(a), 13(c), 14 or 15(d) of the Exchange Act, including our Annual Reports on Form 10-K, Quarterly Reports on Form 10-Q and Current Reports on Form 8-K, as well as other information we include or incorporate by reference.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receive no proceeds from the sale of the shares of Common Stock by the Selling Stockholders. All proceeds from the sale of the Common Stock will be for the account of the Selling Stockholders, as described below. See the sections titled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described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Company’s Common Stock contained in our Annual Report on Form 10-K for the year ended May 31, 2025, including any amendment or report filed for the purpose of updating such description,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being registered by this prospectus consists of 2,529,068 shares that are currently held by the individual employees and officers listed below (the “Selling Stockholders”), and were issued to the Selling Stockholders pursuant to the 2020 Plan. We are registering these shares to permit the Selling Stockholders to resell these shares when each deems appropriate subject to the satisfaction of any conditions to vesting of, or exercise of options relating to, the shares of Common Stock offered hereby pursuant to the terms of the relevant agreements, and subject to any applicable restrictions. The Selling Stockholders may resell all, a portion, or none of the shares, at any time and from time to time. The Selling Stockholders may also sell, transfer or otherwise dispose of some or all of the shares in transactions exempt from the registration requirements of the Securities Act of 1933, as amended (the “Securities Act”). We do not know when or in what amounts the Selling Stockholders may offer the shares of Common Stock for sale under this prospectus.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 the name of each Selling Stockholder; (ii) the title of Selling Stockholder; (iii) the number and percentage of shares of our Common Stock that the Selling Stockholder beneficially owned as of October 15, 2025, prior to the offering for resale of the shares under this prospectus;</w:t>
      </w:r>
    </w:p>
    <w:p>
      <w:pPr>
        <w:jc w:val="both"/>
        <w:ind w:firstLine="8"/>
        <w:spacing w:after="0" w:line="255" w:lineRule="auto"/>
        <w:tabs>
          <w:tab w:leader="none" w:pos="3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that may be offered for resale for the account of the Selling Stockholder under this prospectus; and (v) the number and percentage of shares of our Common Stock to be beneficially owned by the Selling Stockholder after the offering of the resale shares (assuming all of the offered resale shares are sold by such Selling Stockholder).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Title / Position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Owned</w:t>
            </w: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Prior to</w:t>
            </w: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980" w:type="dxa"/>
            <w:vAlign w:val="bottom"/>
          </w:tcPr>
          <w:p>
            <w:pPr>
              <w:spacing w:after="0"/>
              <w:rPr>
                <w:sz w:val="18"/>
                <w:szCs w:val="18"/>
                <w:color w:val="auto"/>
              </w:rPr>
            </w:pPr>
          </w:p>
        </w:tc>
      </w:tr>
      <w:tr>
        <w:trPr>
          <w:trHeight w:val="24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2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Pr>
          <w:p>
            <w:pPr>
              <w:spacing w:after="0"/>
              <w:rPr>
                <w:sz w:val="21"/>
                <w:szCs w:val="21"/>
                <w:color w:val="auto"/>
              </w:rPr>
            </w:pP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Shares Being</w:t>
            </w:r>
          </w:p>
        </w:tc>
        <w:tc>
          <w:tcPr>
            <w:tcW w:w="2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37"/>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(1)</w:t>
            </w:r>
          </w:p>
        </w:tc>
        <w:tc>
          <w:tcPr>
            <w:tcW w:w="40" w:type="dxa"/>
            <w:vAlign w:val="bottom"/>
          </w:tcPr>
          <w:p>
            <w:pPr>
              <w:spacing w:after="0"/>
              <w:rPr>
                <w:sz w:val="20"/>
                <w:szCs w:val="20"/>
                <w:color w:val="auto"/>
              </w:rPr>
            </w:pP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Registered for Resale(2)</w:t>
            </w: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Number (3)</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Percent (4)</w:t>
            </w:r>
          </w:p>
        </w:tc>
      </w:tr>
      <w:tr>
        <w:trPr>
          <w:trHeight w:val="216"/>
        </w:trPr>
        <w:tc>
          <w:tcPr>
            <w:tcW w:w="1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27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CEO</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2,337,979</w:t>
            </w:r>
          </w:p>
        </w:tc>
        <w:tc>
          <w:tcPr>
            <w:tcW w:w="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962,616</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1,365,363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Trowbridge</w:t>
            </w: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EVP and CFO</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769,842</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279,353</w:t>
            </w:r>
          </w:p>
        </w:tc>
        <w:tc>
          <w:tcPr>
            <w:tcW w:w="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490,489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T. Weiss</w:t>
            </w:r>
          </w:p>
        </w:tc>
        <w:tc>
          <w:tcPr>
            <w:tcW w:w="2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SVP, CLO and Secretary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219,283</w:t>
            </w:r>
          </w:p>
        </w:tc>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103,650</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115,633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Laura Piccinini</w:t>
            </w:r>
          </w:p>
        </w:tc>
        <w:tc>
          <w:tcPr>
            <w:tcW w:w="27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SVP and GM, Cardiovascular and</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290,433</w:t>
            </w:r>
          </w:p>
        </w:tc>
        <w:tc>
          <w:tcPr>
            <w:tcW w:w="22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127,516</w:t>
            </w:r>
          </w:p>
        </w:tc>
        <w:tc>
          <w:tcPr>
            <w:tcW w:w="6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162,917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1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Warren G. Nighan</w:t>
            </w:r>
          </w:p>
        </w:tc>
        <w:tc>
          <w:tcPr>
            <w:tcW w:w="27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SVP, Global Supply Chain, Quality</w:t>
            </w: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279,847</w:t>
            </w:r>
          </w:p>
        </w:tc>
        <w:tc>
          <w:tcPr>
            <w:tcW w:w="22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121,113</w:t>
            </w: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158,734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Regulatory Affairs</w:t>
            </w:r>
          </w:p>
        </w:tc>
        <w:tc>
          <w:tcPr>
            <w:tcW w:w="2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98"/>
        </w:trPr>
        <w:tc>
          <w:tcPr>
            <w:tcW w:w="1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Chad T. Campbell</w:t>
            </w:r>
          </w:p>
        </w:tc>
        <w:tc>
          <w:tcPr>
            <w:tcW w:w="27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SVP and GM, Oncology and</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286,807</w:t>
            </w:r>
          </w:p>
        </w:tc>
        <w:tc>
          <w:tcPr>
            <w:tcW w:w="22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122,246</w:t>
            </w:r>
          </w:p>
        </w:tc>
        <w:tc>
          <w:tcPr>
            <w:tcW w:w="6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164,561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Interventional Devices</w:t>
            </w: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Named Selling Stockholders (5)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1,432,867</w:t>
            </w:r>
          </w:p>
        </w:tc>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808,126</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right="60"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owned or issuable in connection with the exercise or vesting of awards granted to such person, including awards that are not presently exercisable or vested.</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unexercised options granted to each Selling Stockholder.</w:t>
      </w:r>
    </w:p>
    <w:p>
      <w:pPr>
        <w:spacing w:after="0" w:line="9" w:lineRule="exact"/>
        <w:rPr>
          <w:rFonts w:ascii="Times New Roman" w:cs="Times New Roman" w:eastAsia="Times New Roman" w:hAnsi="Times New Roman"/>
          <w:sz w:val="18"/>
          <w:szCs w:val="18"/>
          <w:color w:val="auto"/>
        </w:rPr>
      </w:pPr>
    </w:p>
    <w:p>
      <w:pPr>
        <w:ind w:right="300"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all of the shares of Common Stock being offered are (x) vested and/or exercised and (y) sold in the offering, (ii) that shares of Common Stock owned by such Selling Stockholder but not being offered pursuant to this prospectus (if any) are not sold, and (iii) that no additional shares are purchased or otherwise acquired.</w:t>
      </w:r>
    </w:p>
    <w:p>
      <w:pPr>
        <w:spacing w:after="0" w:line="1" w:lineRule="exact"/>
        <w:rPr>
          <w:rFonts w:ascii="Times New Roman" w:cs="Times New Roman" w:eastAsia="Times New Roman" w:hAnsi="Times New Roman"/>
          <w:sz w:val="18"/>
          <w:szCs w:val="18"/>
          <w:color w:val="auto"/>
        </w:rPr>
      </w:pPr>
    </w:p>
    <w:p>
      <w:pPr>
        <w:ind w:right="180"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41,076,119 shares of Common Stock outstanding as of September 18, 2025. In calculating the percentage for each Selling Stockholder, (a) the numerator is calculated by adding the number of shares of Common Stock held by such Selling Stockholder after the offering, including shares of Common Stock issuable in connection with the exercise or vesting of awards granted to such person; and (b) the denominator is calculated by adding to the aggregate number of shares of Common Stock outstanding the number of shares of Common Stock issuable upon the exercise or vesting of awards granted to such Selling Stockholder, if any (but not the number of shares of Common Stock issuable upon the exercise or vesting of awards granted to any other Selling Stockholder).</w:t>
      </w:r>
    </w:p>
    <w:p>
      <w:pPr>
        <w:spacing w:after="0" w:line="2" w:lineRule="exact"/>
        <w:rPr>
          <w:rFonts w:ascii="Times New Roman" w:cs="Times New Roman" w:eastAsia="Times New Roman" w:hAnsi="Times New Roman"/>
          <w:sz w:val="18"/>
          <w:szCs w:val="18"/>
          <w:color w:val="auto"/>
        </w:rPr>
      </w:pPr>
    </w:p>
    <w:p>
      <w:pPr>
        <w:ind w:left="40" w:right="140" w:hanging="10"/>
        <w:spacing w:after="0" w:line="253" w:lineRule="auto"/>
        <w:tabs>
          <w:tab w:leader="none" w:pos="29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30 named non-affiliate persons, each of whom holds at least 1,000 shares of Common Stock owned or issuable in connection with the exercise or vesting of awards granted to such person: Ada Au; Marna Bronfen-Moore; Jacob Brumbaugh; Saleem Cheeks; Brianne Cichoski; David Clare; Benjamin Davis; Christopher Davis; Michael Decarlo; Kelly Deerfield; Scott Duhamel; Peter Flora; Katie Garippa; Stuart Holbrook; Joseph Holcomb; Vikram Kapur; Steven Krawczyk; Peter Makula; Elizabeth Manning; Tonya Markham; Jessica Maynard; Stuart McIntyre; Troy Roberts; Katie Rodway; Kim Seabury; Juan Carlos Serna; Jeffrey Smith; Linda Upchurch; Sean Wettig; and Jeremy Wilmington.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covered by this Reoffer Prospectus are being registered by AngioDynamics for the account of the Selling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may be sold from time to time directly by or on behalf of each Selling Stockholder in one or more transactions on Nasdaq or any other stock exchange on which our Common Stock may be listed at the time of sale, in privately negotiated transactions, or through a combination of such methods, at market prices prevailing at the time of sale, at prices related to such prevailing market prices, at fixed prices (which may be changed) or at negotiated prices. The Selling Stockholders may sell shares through one or more agents, brokers or dealers or directly to purchasers. Such brokers or dealers may receive compensation in the form of commissions, discounts or concessions from the selling stockholders and/or purchasers of the shares or both. Such compensation as to a particular broker or dealer may be in excess of customary commissions.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their sales, a Selling Stockholder and any participating broker or dealer may be deemed to be “underwriters” within the meaning of the Securities Act, and any commissions they receive and the proceeds of any sale of shares may be deemed to be underwriting discounts and commissions under the Securities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bearing all costs relating to the registration of the shares of Common Stock. Any commissions or other fees payable to brokers or dealers in connection with any sale of the shares will be borne by the Selling Stockholders or other party selling such shares. Sales of the shares must be made by the Selling Stockholders in compliance with all applicable state and federal securities laws and regulations, including the Securities Act. In addition to any shares sold hereunder, Selling Stockholders may sell shares of Common Stock in compliance with Rule 144. There is no assurance that the Selling Stockholders will sell all or a portion of the Common Stock offered hereby. The Selling Stockholders may agree to indemnify any broker, dealer or agent that participates in transactions involving sales of the shares against certain liabilities in connection with the offering of the shares arising under the Securities Act. We have notified the Selling Stockholders of the need to deliver a copy of this Reoffer Prospectus in connection with any sale of the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may apply to sales of our Common Stock and activities of the Selling Stockholders, which may limit the timing of purchases and sales of any of the shares of Common Stock by the Selling Stockholders and any other participating person. Regulation M may also restrict the ability of any person engaged in the distribution of the shares of Common Stock to engage in passive market-making activities with respect to the shares of Common Stock. Passive market making involves transactions in which a market maker acts as both our underwriter and as a purchaser of our Common Stock in the secondary market.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to be offered or resold by means of this reoffer prospectus by the Selling Stockholder may not exceed, during any three-month period, the amount specified in Rule 144(e) under the Securities Act; provided, however, that such limitation will no longer be applicable when the Company satisfies the registrant requirements for use of Form S-3. In addition, any securities covered by this Reoffer Prospectus which qualify for sale pursuant to Rule 144 of the Securities Act may be sold under Rule 144 of the Securities Act rather than pursuant to this reoffer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the Selling Stockholders will sell any or all of the securities offered hereby.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validity of the issuance of the Shares described in this Prospectus will be passed upon by Lawrence T. Weiss, 14 Plaza Drive, Latham, New York 12110 . As an employee of the Registrant, Mr. Weiss participates in equity compensation plans of the Registrant on the same basis as other similarly eligible employees, pursuant to which Mr. Weiss owns or has options or rights to acquire an aggregate of less than 1% of the Registrant’s outstanding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and the related financial statement schedule of AngioDynamics, Inc. as of May 31, 2025 and 2024, and for each of the years then ended, incorporated in this Registration Statement by reference to AngioDynamics, Inc.’s annual report on Form 10-K for the year ended May 31, 2025 and the effectiveness of AngioDynamics, Inc.’s internal control over financial reporting have been audited by Deloitte &amp; Touche LLP, an independent registered public accounting firm, as stated in their reports. Such financial statements and financial statement schedule are incorporated by reference in reliance upon the reports of such firm given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and copy any document we file with the SEC (including exhibits to such documents) at the SEC’s Public Reference Room at 100 F. Street, N.E., Room 1580, Washington, D.C. 20549. You may obtain additional information about the Public Reference Room by calling the SEC at 1-800-SEC-0330. In addition, the SEC maintains a site on the Internet at http://www.sec.gov/ that contains reports, proxy statements and other information that we file electronically with the SEC.</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are also available free of charge on our website at https://www.angiodynamics.com/. We have not incorporated by reference into this prospectus the information on our website, and you should not consider it to be a part of this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Section 13 of the Securities Exchange Act of 1934, as amended (the “Exchange Act”) (File No. 000-50761), are incorporated herein by reference:</w:t>
      </w:r>
    </w:p>
    <w:p>
      <w:pPr>
        <w:spacing w:after="0" w:line="162" w:lineRule="exact"/>
        <w:rPr>
          <w:sz w:val="20"/>
          <w:szCs w:val="20"/>
          <w:color w:val="auto"/>
        </w:rPr>
      </w:pPr>
    </w:p>
    <w:p>
      <w:pPr>
        <w:ind w:firstLine="494"/>
        <w:spacing w:after="0" w:line="282" w:lineRule="auto"/>
        <w:tabs>
          <w:tab w:leader="none" w:pos="7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(including the portions of the Registrant’s Proxy Statement incorporated by reference therein) for the fiscal year ended May 31, 2025, filed with the Commission on July 18,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40" w:hanging="24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August 31, 2025, filed with the Commission on October 02, 2025; and</w:t>
      </w:r>
    </w:p>
    <w:p>
      <w:pPr>
        <w:spacing w:after="0" w:line="225" w:lineRule="exact"/>
        <w:rPr>
          <w:rFonts w:ascii="Times New Roman" w:cs="Times New Roman" w:eastAsia="Times New Roman" w:hAnsi="Times New Roman"/>
          <w:sz w:val="18"/>
          <w:szCs w:val="18"/>
          <w:color w:val="auto"/>
        </w:rPr>
      </w:pPr>
    </w:p>
    <w:p>
      <w:pPr>
        <w:ind w:right="20" w:firstLine="494"/>
        <w:spacing w:after="0" w:line="282" w:lineRule="auto"/>
        <w:tabs>
          <w:tab w:leader="none" w:pos="7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Stock contained in the Registrant’s registration statement on Form 8-A (Registration No. 000-50761), filed by the Registrant with the Commission on May 13, 2004, including any amendments or reports filed for the purpose of updating such description.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subsequent to the date of this Registration Statement and prior to the filing of a post-effective amendment indicating that all securities offered hereby have been sold or deregistering all securities then remaining unsold, shall be deemed to be incorporated by reference into this Registration Statement and to be a part hereof from the date of filing of such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will be deemed to be modified or superseded for purposes of this Registration Statement to the extent that a statement contained herein or in any subsequently filed document that is also incorporated or deemed to be incorporated by reference in this Registration Statement modifies or supersedes such statement. Any statement so modified or superseded will not be deemed, except as so modified or superseded, to constitute a part of this Registration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Registration Statement or any related prospectus. The Company has not authorized anyone to provide you with different information. You should not assume that the information in this Registration Statement or any related prospectus is accurate as of any date other than the date on the front of the document.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AngioDynamics will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such information should be directed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AngioDynamics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Plaza Drive, Latham, New York, 12110</w:t>
      </w:r>
    </w:p>
    <w:p>
      <w:pPr>
        <w:spacing w:after="0" w:line="9" w:lineRule="exact"/>
        <w:rPr>
          <w:sz w:val="20"/>
          <w:szCs w:val="20"/>
          <w:color w:val="auto"/>
        </w:rPr>
      </w:pPr>
    </w:p>
    <w:p>
      <w:pPr>
        <w:ind w:left="5500" w:hanging="438"/>
        <w:spacing w:after="0"/>
        <w:tabs>
          <w:tab w:leader="none" w:pos="5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798-1215</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Section 13 of the Securities Exchange Act of 1934, as amended (the “Exchange Act”) (File No. 000-50761), are incorporated herein by reference:</w:t>
      </w:r>
    </w:p>
    <w:p>
      <w:pPr>
        <w:spacing w:after="0" w:line="162" w:lineRule="exact"/>
        <w:rPr>
          <w:sz w:val="20"/>
          <w:szCs w:val="20"/>
          <w:color w:val="auto"/>
        </w:rPr>
      </w:pPr>
    </w:p>
    <w:p>
      <w:pPr>
        <w:ind w:firstLine="494"/>
        <w:spacing w:after="0" w:line="282" w:lineRule="auto"/>
        <w:tabs>
          <w:tab w:leader="none" w:pos="7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the portions of the Registrant’s Proxy Statement incorporated by reference therein) for the fiscal year ended May 31, 2025, filed with the Commission on July 18, 2025;</w:t>
      </w:r>
    </w:p>
    <w:p>
      <w:pPr>
        <w:spacing w:after="0" w:line="16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w:t>
      </w:r>
      <w:hyperlink r:id="rId2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August 31, 2025, filed with the Commission on October 02, 2025; and</w:t>
      </w:r>
    </w:p>
    <w:p>
      <w:pPr>
        <w:spacing w:after="0" w:line="225" w:lineRule="exact"/>
        <w:rPr>
          <w:rFonts w:ascii="Times New Roman" w:cs="Times New Roman" w:eastAsia="Times New Roman" w:hAnsi="Times New Roman"/>
          <w:sz w:val="18"/>
          <w:szCs w:val="18"/>
          <w:color w:val="auto"/>
        </w:rPr>
      </w:pPr>
    </w:p>
    <w:p>
      <w:pPr>
        <w:ind w:right="20" w:firstLine="494"/>
        <w:spacing w:after="0" w:line="282" w:lineRule="auto"/>
        <w:tabs>
          <w:tab w:leader="none" w:pos="7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2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000-50761), filed by the Registrant with the Commission on May 13, 2004,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subsequent to the date of this Registration Statement and prior to the filing of a post-effective amendment indicating that all securities offered hereby have been sold or deregistering all securities then remaining unsold, shall be deemed to be incorporated by reference into this Registration Statement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will be deemed to be modified or superseded for purposes of this Registration Statement to the extent that a statement contained herein or in any subsequently filed document that is also incorporated or deemed to be incorporated by reference in this Registration Statement modifies or supersedes such statement. Any statement so modified or superseded will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AngioDynamics will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such information should be directed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AngioDynamics</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 Plaza Drive, Latham, New York, 12110</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798-1215</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3"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Lawrence T. Weiss who is providing an opinion on the validity of the issuance of the shares of Common Stock being registered hereby, is Senior Vice President, Chief Legal Officer and Corporate Secretary of the Registrant. As an employee of the Registrant, Mr. Weiss participates in equity compensation plans of the Registrant on the same basis as other similarly eligible employees, pursuant to which Mr. Weiss owns or has options or rights to acquire an aggregate of less than 1% of the Registrant’s outstanding Common Stock. Mr. Weiss is eligible to participate in the Plans.</w:t>
      </w:r>
    </w:p>
    <w:p>
      <w:pPr>
        <w:spacing w:after="0" w:line="176"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Delaware corporation may indemnify directors, officers, employees and agents against expenses (including attorneys’ fees), judgments, fines and amounts paid in settlement actually and reasonably incurred by such person in connection with any threatened, pending or completed action, suit or proceeding in which such person is made a party by reason of such person being or having been a director, officer, employee or agent to the corporation, provided that such person acted in good faith and in a manner he or she reasonably believed to be in or not opposed to the corporation’s best interests and, with respect to any criminal action or proceeding, had no reasonable cause to believe that his or her conduct was unlawful. The DGCL provides that Section 145 is not exclusive of other rights to which those seeking indemnification may be entitled under any bylaw, agreement, vote of stockholders or disinterested directors or otherwise.</w:t>
      </w:r>
    </w:p>
    <w:p>
      <w:pPr>
        <w:spacing w:after="0" w:line="37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or an amendment thereto, to eliminate or limit the personal liability of a director to the corporation and its stockholders for monetary damages arising out of certain breaches of fiduciary duty.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as amended (the “COI”), generally provides for the elimination of the personal liability of its directors to the Registrant and its stockholders for monetary damages for breach of their fiduciary duties as directors, subject to the exceptions set forth in DGCL Section 102. The Registrant’s COI provides that the Registrant will indemnify its directors and officers to the fullest extent permitted by the DGCL. The Registrant’s COI also authorizes it to indemnify its employees and other agents to the fullest extent permitted by the DGCL.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Second Amended and Restated Bylaws (the “Bylaws”) generally provide that the Registrant shall indemnify each of its directors and executive officers to the fullest extent not prohibited by the DGCL and may indemnify certain other persons as set forth in the DGCL.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provides that none of the Registrant’s directors, employees, or agents shall be liable for any action taken or omitted to be taken or any determinations made under the 2020 Plan (unless constituting fraud or a willful criminal act or omission), and further provides that the Registrant will indemnify and hold harmless each of the foregoing for losses in connection with any such actions, omissions, or determinations (unless otherwise prohibited by law or the Registrant’s or its subsidiaries’ organizational documents). The right to indemnification under the 2020 Plan is not exclusive of, and does not supersede, any other indemnification rights under the Registrant’s organizational documents, applicable law, an individual indemnification agreement, or otherwise.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Registrant also maintains officer and director insurance coverage against certain liabilities for actions taken in their capacities as such, including liabilities under the Securities Act. In addition, each executive officer and director is a party to a written agreement which states that the Registrant agrees to hold each of them harmless against any and all judgments, fines, settlements and expenses related to claims against such person by reason of the fact that the person is or was a director, executive officer, employee or other agent of the Registrant, and otherwise to the fullest extent authorized or permitted by the Registrant’s COI and Bylaws and under the non-exclusivity provisions of the DGCL.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the undertakings set out in response to Item 9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r>
      <w:tr>
        <w:trPr>
          <w:trHeight w:val="432"/>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0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432"/>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20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241"/>
        </w:trPr>
        <w:tc>
          <w:tcPr>
            <w:tcW w:w="1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3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4"/>
              </w:rPr>
            </w:pPr>
            <w:hyperlink r:id="rId29">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1.1</w:t>
              </w:r>
            </w:hyperlink>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Report on Form 10-Q filed with the Commission on October 7, 2005).</w:t>
            </w:r>
          </w:p>
        </w:tc>
      </w:tr>
      <w:tr>
        <w:trPr>
          <w:trHeight w:val="176"/>
        </w:trPr>
        <w:tc>
          <w:tcPr>
            <w:tcW w:w="36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4"/>
              </w:rPr>
            </w:pPr>
            <w:hyperlink r:id="rId30">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1.2</w:t>
              </w:r>
            </w:hyperlink>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the Registrant (incorporated by reference to</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Exhibit 3.1.2 to the Registrant’s Annual Report on Form 10-K filed with the Commission on August 10, 2015).</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the Registrant (incorporated by reference to Exhibit 3.1 to the Registrant’s Current Report 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with the Commission on October 21, 2015).</w:t>
            </w:r>
          </w:p>
        </w:tc>
      </w:tr>
      <w:tr>
        <w:trPr>
          <w:trHeight w:val="175"/>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Specimen Certificate of the Registrant’s Common Stock (incorporated by reference to Exhibit 4.2 to Amendment No. 2 to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Registration Statement on Form S-1 filed with the Commission on May 5, 2004).</w:t>
            </w:r>
          </w:p>
        </w:tc>
      </w:tr>
      <w:tr>
        <w:trPr>
          <w:trHeight w:val="196"/>
        </w:trPr>
        <w:tc>
          <w:tcPr>
            <w:tcW w:w="2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Lawrence T. Weiss, Senior Vice President, Chief Legal Officer and Corporate Secretary.+</w:t>
            </w:r>
          </w:p>
        </w:tc>
      </w:tr>
      <w:tr>
        <w:trPr>
          <w:trHeight w:val="175"/>
        </w:trPr>
        <w:tc>
          <w:tcPr>
            <w:tcW w:w="360" w:type="dxa"/>
            <w:vAlign w:val="bottom"/>
            <w:gridSpan w:val="3"/>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AngioDynamics, Inc. 2020 Equity Incentive Plan, as amended (incorporated by reference to Appendix A to the Registrant’s Definitive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 on Schedule 14A filed with the Commission on September 26, 2024).</w:t>
            </w:r>
          </w:p>
        </w:tc>
      </w:tr>
      <w:tr>
        <w:trPr>
          <w:trHeight w:val="175"/>
        </w:trPr>
        <w:tc>
          <w:tcPr>
            <w:tcW w:w="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Consent of Lawrence T. Weiss, Senior Vice President, Chief Legal Officer and Corporate Secretary of the Registrant (included in Exhibit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w:t>
            </w:r>
          </w:p>
        </w:tc>
      </w:tr>
      <w:tr>
        <w:trPr>
          <w:trHeight w:val="176"/>
        </w:trPr>
        <w:tc>
          <w:tcPr>
            <w:tcW w:w="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75"/>
        </w:trPr>
        <w:tc>
          <w:tcPr>
            <w:tcW w:w="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 to this Registration Statement).+</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80" w:type="dxa"/>
            <w:vAlign w:val="bottom"/>
            <w:tcBorders>
              <w:top w:val="single" w:sz="8" w:color="CCEEFF"/>
            </w:tcBorders>
            <w:shd w:val="clear" w:color="auto" w:fill="CCEEFF"/>
          </w:tcPr>
          <w:p>
            <w:pPr>
              <w:spacing w:after="0" w:line="20" w:lineRule="exact"/>
              <w:rPr>
                <w:sz w:val="1"/>
                <w:szCs w:val="1"/>
                <w:color w:val="auto"/>
              </w:rPr>
            </w:pPr>
          </w:p>
        </w:tc>
      </w:tr>
    </w:tbl>
    <w:p>
      <w:pPr>
        <w:ind w:left="1360" w:hanging="1352"/>
        <w:spacing w:after="0"/>
        <w:tabs>
          <w:tab w:leader="none" w:pos="1360"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8572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 230.424(b) of this chapter) if, in the aggregate, the changes in volume and price represent no more than a 20% change in the maximum aggregate offering price set forth in the “Calculation of Registration Fee” table in this effective Registration Statement.</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61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this Registration Statement.</w:t>
      </w:r>
    </w:p>
    <w:p>
      <w:pPr>
        <w:spacing w:after="0" w:line="176" w:lineRule="exact"/>
        <w:rPr>
          <w:sz w:val="20"/>
          <w:szCs w:val="20"/>
          <w:color w:val="auto"/>
        </w:rPr>
      </w:pPr>
    </w:p>
    <w:p>
      <w:pPr>
        <w:jc w:val="both"/>
        <w:ind w:firstLine="656"/>
        <w:spacing w:after="0" w:line="266"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656"/>
        <w:spacing w:after="0" w:line="258" w:lineRule="auto"/>
        <w:tabs>
          <w:tab w:leader="none" w:pos="9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Latham, State of New York, on October 21, 2025.</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Lawrence T.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Lawrence T. Weiss</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Senior Vice President, Chief Legal</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Officer and Corporate Secretary</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James C. Clemmer and Lawrence T. Weiss, and each or either of them, as his true and lawful attorneys-in-fact and agents, with full power of substitution and resubstitution, for each of them and in each of their names,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or either of them, full power and authority to do and perform each and every act and thing requisite and necessary to be done, as fully to all intents and purposes as each of them might or could do in person, hereby ratifying and confirming all that said attorneys-in-fact and agents, and each or either of them, or his substitute or substitutes, may lawfully do or cause to be done by virtue hereof.</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October 21, 2025.</w:t>
      </w:r>
    </w:p>
    <w:p>
      <w:pPr>
        <w:sectPr>
          <w:pgSz w:w="11900" w:h="16838" w:orient="portrait"/>
          <w:cols w:equalWidth="0" w:num="1">
            <w:col w:w="11240"/>
          </w:cols>
          <w:pgMar w:left="320" w:top="116" w:right="339" w:bottom="1440" w:gutter="0" w:footer="0" w:header="0"/>
        </w:sectPr>
      </w:pPr>
    </w:p>
    <w:p>
      <w:pPr>
        <w:spacing w:after="0" w:line="16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4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Howard W.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Howard W. Donnelly</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James C. Clemmer</w:t>
      </w:r>
    </w:p>
    <w:p>
      <w:pPr>
        <w:spacing w:after="0" w:line="200" w:lineRule="exact"/>
        <w:rPr>
          <w:sz w:val="20"/>
          <w:szCs w:val="20"/>
          <w:color w:val="auto"/>
        </w:rPr>
      </w:pPr>
    </w:p>
    <w:p>
      <w:pPr>
        <w:spacing w:after="0" w:line="22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290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Stephen A. Trowbridge</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Eileen O. Auen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Eileen Auen</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Wesley E.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Wesley E. Johnson, Jr.</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Karen A. Licitra</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Lorinda 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Lorinda A. Burgess</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Jan Stern Reed</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 Michael E. 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Michael E. Tarnoff</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29" w:lineRule="exact"/>
        <w:rPr>
          <w:sz w:val="20"/>
          <w:szCs w:val="20"/>
          <w:color w:val="auto"/>
        </w:rPr>
      </w:pPr>
    </w:p>
    <w:p>
      <w:pPr>
        <w:sectPr>
          <w:pgSz w:w="11900" w:h="16838" w:orient="portrait"/>
          <w:cols w:equalWidth="0" w:num="2">
            <w:col w:w="5140" w:space="720"/>
            <w:col w:w="5380"/>
          </w:cols>
          <w:pgMar w:left="320" w:top="116" w:right="339" w:bottom="1440" w:gutter="0" w:footer="0" w:header="0"/>
          <w:type w:val="continuous"/>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19685</wp:posOffset>
            </wp:positionV>
            <wp:extent cx="2606040" cy="779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6060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Plaza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 12110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have acted as counsel to AngioDynamics,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connection with the registration by the Company of 4,700,000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$0.01 per share, for issuance pursuant to the AngioDynamics, Inc. 2020 Equity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rendering the opinions set forth below, I have examined and relied upon the originals, copies or specimens, certified or otherwise identified to my satisfaction, of the Registration Statement, the Plan and such certificates, corporate and public records, agreements and instruments and other documents as I have deemed appropriate as a basis for the opinions expressed below. In making my examination, I have assumed the genuineness of all signatures, the legal capacity of natural persons, the authenticity of all documents submitted to me as originals and the conformity to the originals of all documents submitted to me as photostatic or conformed copies.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I am of the opinion that the Shares have been duly authorized and, when issued in accordance with the terms of the Plan, will be validly issued, fully paid and nonassessable.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express no opinion as to any matter which may be, or which purports to be, governed by the laws of any jurisdiction other than the General Corporation Law of the State of Delaware and the federal laws of the United States of America, in each case as in effect on the date of this letter.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hereby consent to the filing of this letter as an exhibit to the Registration Statement. In giving this consent, I do not hereby admit that I am in the category of persons whose consent is required under Section 7 of the Securities Act. This opinion is expressed as of the date of effectiveness of the Registration Statement unless otherwise expressly stated, and I disclaim any undertaking to advise you of any subsequent changes in the facts stated or assumed herein or of any subsequent changes in applicable laws after that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T.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July 18, 2025, relating to the financial statements of AngioDynamics, Inc. and the effectiveness of AngioDynamics, Inc.'s internal control over financial reporting, appearing in the Annual Report on Form 10-K of AngioDynamics, Inc. for the year ended May 31, 2025.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 Type)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240" w:type="dxa"/>
            <w:vAlign w:val="bottom"/>
            <w:tcBorders>
              <w:top w:val="single" w:sz="8" w:color="auto"/>
              <w:left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tcPr>
          <w:p>
            <w:pPr>
              <w:spacing w:after="0"/>
              <w:rPr>
                <w:sz w:val="9"/>
                <w:szCs w:val="9"/>
                <w:color w:val="auto"/>
              </w:rPr>
            </w:pPr>
          </w:p>
        </w:tc>
        <w:tc>
          <w:tcPr>
            <w:tcW w:w="1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Calculation</w:t>
            </w:r>
          </w:p>
        </w:tc>
        <w:tc>
          <w:tcPr>
            <w:tcW w:w="146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9"/>
                <w:szCs w:val="9"/>
                <w:color w:val="auto"/>
              </w:rPr>
            </w:pPr>
          </w:p>
        </w:tc>
        <w:tc>
          <w:tcPr>
            <w:tcW w:w="12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80" w:type="dxa"/>
            <w:vAlign w:val="bottom"/>
          </w:tcPr>
          <w:p>
            <w:pPr>
              <w:spacing w:after="0"/>
              <w:rPr>
                <w:sz w:val="9"/>
                <w:szCs w:val="9"/>
                <w:color w:val="auto"/>
              </w:rPr>
            </w:pPr>
          </w:p>
        </w:tc>
        <w:tc>
          <w:tcPr>
            <w:tcW w:w="13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9"/>
                <w:szCs w:val="9"/>
                <w:color w:val="auto"/>
              </w:rPr>
            </w:pPr>
          </w:p>
        </w:tc>
        <w:tc>
          <w:tcPr>
            <w:tcW w:w="130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112"/>
        </w:trPr>
        <w:tc>
          <w:tcPr>
            <w:tcW w:w="1240" w:type="dxa"/>
            <w:vAlign w:val="bottom"/>
            <w:tcBorders>
              <w:left w:val="single" w:sz="8" w:color="auto"/>
            </w:tcBorders>
            <w:vMerge w:val="continue"/>
          </w:tcPr>
          <w:p>
            <w:pPr>
              <w:spacing w:after="0"/>
              <w:rPr>
                <w:sz w:val="9"/>
                <w:szCs w:val="9"/>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60" w:type="dxa"/>
            <w:vAlign w:val="bottom"/>
            <w:vMerge w:val="restart"/>
          </w:tcPr>
          <w:p>
            <w:pPr>
              <w:jc w:val="right"/>
              <w:ind w:right="152"/>
              <w:spacing w:after="0" w:line="225" w:lineRule="exact"/>
              <w:rPr>
                <w:sz w:val="20"/>
                <w:szCs w:val="20"/>
                <w:color w:val="auto"/>
              </w:rPr>
            </w:pPr>
            <w:r>
              <w:rPr>
                <w:rFonts w:ascii="Times New Roman" w:cs="Times New Roman" w:eastAsia="Times New Roman" w:hAnsi="Times New Roman"/>
                <w:sz w:val="16"/>
                <w:szCs w:val="16"/>
                <w:b w:val="1"/>
                <w:bCs w:val="1"/>
                <w:color w:val="auto"/>
              </w:rPr>
              <w:t>Registered</w:t>
            </w:r>
            <w:r>
              <w:rPr>
                <w:rFonts w:ascii="Times New Roman" w:cs="Times New Roman" w:eastAsia="Times New Roman" w:hAnsi="Times New Roman"/>
                <w:sz w:val="26"/>
                <w:szCs w:val="26"/>
                <w:b w:val="1"/>
                <w:bCs w:val="1"/>
                <w:color w:val="auto"/>
                <w:vertAlign w:val="superscript"/>
              </w:rPr>
              <w:t>(1)</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80" w:type="dxa"/>
            <w:vAlign w:val="bottom"/>
          </w:tcPr>
          <w:p>
            <w:pPr>
              <w:spacing w:after="0"/>
              <w:rPr>
                <w:sz w:val="9"/>
                <w:szCs w:val="9"/>
                <w:color w:val="auto"/>
              </w:rPr>
            </w:pPr>
          </w:p>
        </w:tc>
        <w:tc>
          <w:tcPr>
            <w:tcW w:w="13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40" w:type="dxa"/>
            <w:vAlign w:val="bottom"/>
            <w:tcBorders>
              <w:left w:val="single" w:sz="8" w:color="auto"/>
            </w:tcBorders>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right w:val="single" w:sz="8" w:color="auto"/>
            </w:tcBorders>
            <w:vMerge w:val="restart"/>
          </w:tcPr>
          <w:p>
            <w:pPr>
              <w:jc w:val="center"/>
              <w:ind w:right="170"/>
              <w:spacing w:after="0" w:line="328"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280" w:type="dxa"/>
            <w:vAlign w:val="bottom"/>
          </w:tcPr>
          <w:p>
            <w:pPr>
              <w:spacing w:after="0"/>
              <w:rPr>
                <w:sz w:val="18"/>
                <w:szCs w:val="18"/>
                <w:color w:val="auto"/>
              </w:rPr>
            </w:pPr>
          </w:p>
        </w:tc>
        <w:tc>
          <w:tcPr>
            <w:tcW w:w="1320" w:type="dxa"/>
            <w:vAlign w:val="bottom"/>
            <w:vMerge w:val="restart"/>
          </w:tcPr>
          <w:p>
            <w:pPr>
              <w:jc w:val="center"/>
              <w:ind w:right="290"/>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40" w:type="dxa"/>
            <w:vAlign w:val="bottom"/>
            <w:tcBorders>
              <w:lef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240" w:type="dxa"/>
            <w:vAlign w:val="bottom"/>
            <w:tcBorders>
              <w:left w:val="single" w:sz="8" w:color="auto"/>
            </w:tcBorders>
            <w:shd w:val="clear" w:color="auto" w:fill="CCEEFF"/>
          </w:tcPr>
          <w:p>
            <w:pPr>
              <w:spacing w:after="0"/>
              <w:rPr>
                <w:sz w:val="17"/>
                <w:szCs w:val="17"/>
                <w:color w:val="auto"/>
              </w:rPr>
            </w:pPr>
          </w:p>
        </w:tc>
        <w:tc>
          <w:tcPr>
            <w:tcW w:w="136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 par value</w:t>
            </w: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AngioDynamics</w:t>
            </w: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 2020 Equity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 per</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Incentive Plan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54,567,000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7,535.70</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8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Total Offering Amounts: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54,567,000</w:t>
            </w:r>
          </w:p>
        </w:tc>
        <w:tc>
          <w:tcPr>
            <w:tcW w:w="1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7,535.70</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Total Fee Offsets: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Net Fee Due: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7,535.70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234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78" w:lineRule="exact"/>
        <w:rPr>
          <w:sz w:val="20"/>
          <w:szCs w:val="20"/>
          <w:color w:val="auto"/>
        </w:rPr>
      </w:pPr>
    </w:p>
    <w:p>
      <w:pPr>
        <w:ind w:left="660" w:right="100" w:hanging="652"/>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also covers an indeterminate number of additional shares of common stock, par value $0.01 per share (the “Common Stock”), of AngioDynamics, Inc. that may become issuable under the AngioDynamics, Inc. 2020 Equity Incentive Plan resulting from a stock split, reverse stock split, stock dividend, combination or reclassification of the Common Stock or any other similar transaction effected without the receipt of consideration which results in an increase in the number of shares of Common Stock.</w:t>
      </w:r>
    </w:p>
    <w:p>
      <w:pPr>
        <w:spacing w:after="0" w:line="183"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and Rule 457(h) under the Securities Act, the proposed maximum aggregate offering price and the registration fee are estimated based upon the average of the high and low sale prices of the Common Stock as reported on NASDAQ on October 17, 2025, which such average was $11.61.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4"/>
    </w:lvl>
  </w:abstractNum>
  <w:abstractNum w:abstractNumId="1">
    <w:nsid w:val="79E2A9E3"/>
    <w:multiLevelType w:val="hybridMultilevel"/>
    <w:lvl w:ilvl="0">
      <w:lvlJc w:val="left"/>
      <w:lvlText w:val="(%1)"/>
      <w:numFmt w:val="decimal"/>
      <w:start w:val="1"/>
    </w:lvl>
    <w:lvl w:ilvl="1">
      <w:lvlJc w:val="left"/>
      <w:lvlText w:val="(%2)"/>
      <w:numFmt w:val="decimal"/>
      <w:start w:val="5"/>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decimal"/>
      <w:start w:val="518"/>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518"/>
    </w:lvl>
  </w:abstractNum>
  <w:abstractNum w:abstractNumId="7">
    <w:nsid w:val="216231B"/>
    <w:multiLevelType w:val="hybridMultilevel"/>
    <w:lvl w:ilvl="0">
      <w:lvlJc w:val="left"/>
      <w:lvlText w:val="%1"/>
      <w:numFmt w:val="decimal"/>
      <w:start w:val="107"/>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Roman"/>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8"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jpe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25" Type="http://schemas.openxmlformats.org/officeDocument/2006/relationships/hyperlink" Target="https://www.sec.gov/ix?doc=/Archives/edgar/data/0001275187/000127518725000014/ango-20250531.htm" TargetMode="External"/><Relationship Id="rId26" Type="http://schemas.openxmlformats.org/officeDocument/2006/relationships/hyperlink" Target="https://www.sec.gov/ix?doc=/Archives/edgar/data/0001275187/000162828025043689/ango-20250831.htm" TargetMode="External"/><Relationship Id="rId27" Type="http://schemas.openxmlformats.org/officeDocument/2006/relationships/hyperlink" Target="https://www.sec.gov/Archives/edgar/data/1275187/000119312504087253/d8a12g.htm" TargetMode="External"/><Relationship Id="rId29" Type="http://schemas.openxmlformats.org/officeDocument/2006/relationships/hyperlink" Target="https://www.sec.gov/Archives/edgar/data/1275187/000119312505198180/dex31.htm" TargetMode="External"/><Relationship Id="rId30" Type="http://schemas.openxmlformats.org/officeDocument/2006/relationships/hyperlink" Target="https://www.sec.gov/Archives/edgar/data/1275187/000127518715000018/ex31253115.htm" TargetMode="External"/><Relationship Id="rId31" Type="http://schemas.openxmlformats.org/officeDocument/2006/relationships/hyperlink" Target="https://www.sec.gov/Archives/edgar/data/1275187/000091412115000548/an33460072-ex3_1.htm" TargetMode="External"/><Relationship Id="rId32" Type="http://schemas.openxmlformats.org/officeDocument/2006/relationships/hyperlink" Target="https://www.sec.gov/Archives/edgar/data/1275187/000119312504079404/dex42.htm" TargetMode="External"/><Relationship Id="rId33" Type="http://schemas.openxmlformats.org/officeDocument/2006/relationships/hyperlink" Target="https://www.sec.gov/ix?doc=/Archives/edgar/data/0001275187/000162828024041344/ango-202409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2025-10-21T15:29:49Z</dcterms:created>
  <dcterms:modified xsi:type="dcterms:W3CDTF">2025-10-21T15:29:49Z</dcterms:modified>
</cp:coreProperties>
</file>