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ANGIODYNAMICS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03475V101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03475V101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2,559,389.00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2,559,389.00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2,559,389.00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03475V101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2,559,389.00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2,559,389.00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2,559,389.00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03475V101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2,559,389.00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2,559,389.00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2,559,389.00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ANGIODYNAMICS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Plaza Drive, Latham, NY 12110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$0.01 per share ("Shares"), of AngioDynamics, Inc.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 Each of Cubist Systematic Strategies, LLC, Point72 Europe (London) LLP and Point72 (DIFC) Limited are advisors under common control with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jc w:val="left"/>
              <w:rPr/>
            </w:pPr>
            <w:r>
              <w:rPr/>
              <w:t xml:space="preserve">CUSIP No.: </w:t>
            </w:r>
          </w:p>
          <w:p>
            <w:pPr>
              <w:pStyle w:val="TableContents"/>
              <w:bidi w:val="0"/>
              <w:spacing w:before="0" w:after="0"/>
              <w:jc w:val="left"/>
              <w:rPr/>
            </w:pPr>
            <w:r>
              <w:rPr/>
              <w:t>03475V101</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September 30, 2025.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8065</Characters>
  <CharactersWithSpaces>9583</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