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3228975</wp:posOffset>
            </wp:positionH>
            <wp:positionV relativeFrom="paragraph">
              <wp:posOffset>36195</wp:posOffset>
            </wp:positionV>
            <wp:extent cx="72009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87"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14, 2026</w:t>
      </w:r>
    </w:p>
    <w:p>
      <w:pPr>
        <w:spacing w:after="0" w:line="13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AngioDynamics,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34" w:lineRule="exact"/>
        <w:rPr>
          <w:sz w:val="24"/>
          <w:szCs w:val="24"/>
          <w:color w:val="auto"/>
        </w:rPr>
      </w:pPr>
    </w:p>
    <w:tbl>
      <w:tblPr>
        <w:tblLayout w:type="fixed"/>
        <w:tblInd w:w="788" w:type="dxa"/>
        <w:tblCellMar>
          <w:top w:w="0" w:type="dxa"/>
          <w:left w:w="0" w:type="dxa"/>
          <w:bottom w:w="0" w:type="dxa"/>
          <w:right w:w="0" w:type="dxa"/>
        </w:tblCellMar>
      </w:tblPr>
      <w:tr>
        <w:trPr>
          <w:trHeight w:val="159"/>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000-50761</w:t>
            </w:r>
          </w:p>
        </w:tc>
        <w:tc>
          <w:tcPr>
            <w:tcW w:w="29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11-3146460</w:t>
            </w:r>
          </w:p>
        </w:tc>
      </w:tr>
      <w:tr>
        <w:trPr>
          <w:trHeight w:val="288"/>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292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(Commission File Number)</w:t>
            </w:r>
          </w:p>
        </w:tc>
        <w:tc>
          <w:tcPr>
            <w:tcW w:w="2980" w:type="dxa"/>
            <w:vAlign w:val="bottom"/>
          </w:tcPr>
          <w:p>
            <w:pPr>
              <w:jc w:val="center"/>
              <w:ind w:left="1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88"/>
        </w:trPr>
        <w:tc>
          <w:tcPr>
            <w:tcW w:w="358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14 Plaza Drive, Latham, New York</w:t>
            </w:r>
          </w:p>
        </w:tc>
        <w:tc>
          <w:tcPr>
            <w:tcW w:w="2920" w:type="dxa"/>
            <w:vAlign w:val="bottom"/>
          </w:tcPr>
          <w:p>
            <w:pPr>
              <w:spacing w:after="0"/>
              <w:rPr>
                <w:sz w:val="24"/>
                <w:szCs w:val="24"/>
                <w:color w:val="auto"/>
              </w:rPr>
            </w:pPr>
          </w:p>
        </w:tc>
        <w:tc>
          <w:tcPr>
            <w:tcW w:w="2980" w:type="dxa"/>
            <w:vAlign w:val="bottom"/>
          </w:tcPr>
          <w:p>
            <w:pPr>
              <w:jc w:val="right"/>
              <w:ind w:right="1520"/>
              <w:spacing w:after="0"/>
              <w:rPr>
                <w:sz w:val="20"/>
                <w:szCs w:val="20"/>
                <w:color w:val="auto"/>
              </w:rPr>
            </w:pPr>
            <w:r>
              <w:rPr>
                <w:rFonts w:ascii="Times New Roman" w:cs="Times New Roman" w:eastAsia="Times New Roman" w:hAnsi="Times New Roman"/>
                <w:sz w:val="12"/>
                <w:szCs w:val="12"/>
                <w:b w:val="1"/>
                <w:bCs w:val="1"/>
                <w:color w:val="auto"/>
              </w:rPr>
              <w:t>12110</w:t>
            </w:r>
          </w:p>
        </w:tc>
      </w:tr>
      <w:tr>
        <w:trPr>
          <w:trHeight w:val="288"/>
        </w:trPr>
        <w:tc>
          <w:tcPr>
            <w:tcW w:w="358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920" w:type="dxa"/>
            <w:vAlign w:val="bottom"/>
          </w:tcPr>
          <w:p>
            <w:pPr>
              <w:spacing w:after="0"/>
              <w:rPr>
                <w:sz w:val="24"/>
                <w:szCs w:val="24"/>
                <w:color w:val="auto"/>
              </w:rPr>
            </w:pPr>
          </w:p>
        </w:tc>
        <w:tc>
          <w:tcPr>
            <w:tcW w:w="298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580" w:type="dxa"/>
            <w:vAlign w:val="bottom"/>
          </w:tcPr>
          <w:p>
            <w:pPr>
              <w:spacing w:after="0"/>
              <w:rPr>
                <w:sz w:val="24"/>
                <w:szCs w:val="24"/>
                <w:color w:val="auto"/>
              </w:rPr>
            </w:pPr>
          </w:p>
        </w:tc>
        <w:tc>
          <w:tcPr>
            <w:tcW w:w="29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(518) 795-1400</w:t>
            </w:r>
          </w:p>
        </w:tc>
        <w:tc>
          <w:tcPr>
            <w:tcW w:w="2980" w:type="dxa"/>
            <w:vAlign w:val="bottom"/>
          </w:tcPr>
          <w:p>
            <w:pPr>
              <w:spacing w:after="0"/>
              <w:rPr>
                <w:sz w:val="24"/>
                <w:szCs w:val="24"/>
                <w:color w:val="auto"/>
              </w:rPr>
            </w:pPr>
          </w:p>
        </w:tc>
      </w:tr>
    </w:tbl>
    <w:p>
      <w:pPr>
        <w:spacing w:after="0" w:line="13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 (b))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1"/>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17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Name of each exchange on which</w:t>
            </w:r>
          </w:p>
        </w:tc>
      </w:tr>
      <w:tr>
        <w:trPr>
          <w:trHeight w:val="124"/>
        </w:trPr>
        <w:tc>
          <w:tcPr>
            <w:tcW w:w="860" w:type="dxa"/>
            <w:vAlign w:val="bottom"/>
            <w:tcBorders>
              <w:top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7"/>
              </w:rPr>
              <w:t>registered</w:t>
            </w:r>
          </w:p>
        </w:tc>
        <w:tc>
          <w:tcPr>
            <w:tcW w:w="1140" w:type="dxa"/>
            <w:vAlign w:val="bottom"/>
            <w:tcBorders>
              <w:top w:val="single" w:sz="8" w:color="auto"/>
            </w:tcBorders>
          </w:tcPr>
          <w:p>
            <w:pPr>
              <w:spacing w:after="0"/>
              <w:rPr>
                <w:sz w:val="10"/>
                <w:szCs w:val="10"/>
                <w:color w:val="auto"/>
              </w:rPr>
            </w:pPr>
          </w:p>
        </w:tc>
      </w:tr>
      <w:tr>
        <w:trPr>
          <w:trHeight w:val="295"/>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17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color w:val="auto"/>
                <w:w w:val="97"/>
              </w:rPr>
              <w:t>ANGO</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33"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8"/>
          </w:cols>
          <w:pgMar w:left="292" w:top="39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54" w:lineRule="exact"/>
        <w:rPr>
          <w:sz w:val="20"/>
          <w:szCs w:val="20"/>
          <w:color w:val="auto"/>
        </w:rPr>
      </w:pPr>
    </w:p>
    <w:p>
      <w:pPr>
        <w:jc w:val="both"/>
        <w:ind w:right="20" w:firstLine="261"/>
        <w:spacing w:after="0" w:line="279" w:lineRule="auto"/>
        <w:rPr>
          <w:sz w:val="20"/>
          <w:szCs w:val="20"/>
          <w:color w:val="auto"/>
        </w:rPr>
      </w:pPr>
      <w:r>
        <w:rPr>
          <w:rFonts w:ascii="Times New Roman" w:cs="Times New Roman" w:eastAsia="Times New Roman" w:hAnsi="Times New Roman"/>
          <w:sz w:val="12"/>
          <w:szCs w:val="12"/>
          <w:color w:val="auto"/>
        </w:rPr>
        <w:t>On January 14, 2026, James Clemmer, President and Chief Executive Officer of AngioDynamics, Inc. (“AngioDynamics”), presented at the J.P. Morgan 44th Annual Healthcare Conference. The presentation slides are furnished herewith as Exhibit 99.1.</w:t>
      </w:r>
    </w:p>
    <w:p>
      <w:pPr>
        <w:spacing w:after="0" w:line="111" w:lineRule="exact"/>
        <w:rPr>
          <w:sz w:val="20"/>
          <w:szCs w:val="20"/>
          <w:color w:val="auto"/>
        </w:rPr>
      </w:pPr>
    </w:p>
    <w:p>
      <w:pPr>
        <w:jc w:val="both"/>
        <w:ind w:right="20" w:firstLine="261"/>
        <w:spacing w:after="0" w:line="279" w:lineRule="auto"/>
        <w:rPr>
          <w:sz w:val="20"/>
          <w:szCs w:val="20"/>
          <w:color w:val="auto"/>
        </w:rPr>
      </w:pPr>
      <w:r>
        <w:rPr>
          <w:rFonts w:ascii="Times New Roman" w:cs="Times New Roman" w:eastAsia="Times New Roman" w:hAnsi="Times New Roman"/>
          <w:sz w:val="12"/>
          <w:szCs w:val="12"/>
          <w:color w:val="auto"/>
        </w:rPr>
        <w:t>The presentation slides furnished pursuant to Item 7.01 of this Form 8-K (including Exhibit 99.1) shall not be deemed “filed” for purposes of Section 18 of the Securities Exchange Act of 1934, as amended (the “Exchange Act”), or otherwise subject to the liabilities under that Section. Furthermore, the presentation slides shall not be deemed to be incorporated by reference into any filing under the Securities Act of 1933, as amended, or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152"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68"/>
        </w:trPr>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780" w:type="dxa"/>
            <w:vAlign w:val="bottom"/>
          </w:tcPr>
          <w:p>
            <w:pPr>
              <w:spacing w:after="0"/>
              <w:rPr>
                <w:sz w:val="23"/>
                <w:szCs w:val="2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Presentation slides for the J.P. Morgan 44th Annual Healthcare Conference, dated January 14, 2026.</w:t>
            </w:r>
          </w:p>
        </w:tc>
      </w:tr>
      <w:tr>
        <w:trPr>
          <w:trHeight w:val="268"/>
        </w:trPr>
        <w:tc>
          <w:tcPr>
            <w:tcW w:w="200" w:type="dxa"/>
            <w:vAlign w:val="bottom"/>
            <w:tcBorders>
              <w:top w:val="single" w:sz="8" w:color="0000EE"/>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380" w:type="dxa"/>
            <w:vAlign w:val="bottom"/>
            <w:tcBorders>
              <w:bottom w:val="single" w:sz="8" w:color="auto"/>
            </w:tcBorders>
          </w:tcPr>
          <w:p>
            <w:pPr>
              <w:spacing w:after="0"/>
              <w:rPr>
                <w:sz w:val="23"/>
                <w:szCs w:val="23"/>
                <w:color w:val="auto"/>
              </w:rPr>
            </w:pPr>
          </w:p>
        </w:tc>
      </w:tr>
    </w:tbl>
    <w:p>
      <w:pPr>
        <w:sectPr>
          <w:pgSz w:w="11900" w:h="16838" w:orient="portrait"/>
          <w:cols w:equalWidth="0" w:num="1">
            <w:col w:w="11308"/>
          </w:cols>
          <w:pgMar w:left="292" w:top="125"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ANGIODYNAMICS, INC.</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January 14, 2026</w:t>
      </w:r>
      <w:r>
        <w:rPr>
          <w:sz w:val="20"/>
          <w:szCs w:val="20"/>
          <w:color w:val="auto"/>
        </w:rPr>
        <w:tab/>
      </w:r>
      <w:r>
        <w:rPr>
          <w:rFonts w:ascii="Times New Roman" w:cs="Times New Roman" w:eastAsia="Times New Roman" w:hAnsi="Times New Roman"/>
          <w:sz w:val="12"/>
          <w:szCs w:val="12"/>
          <w:color w:val="auto"/>
        </w:rPr>
        <w:t>By:</w:t>
        <w:tab/>
        <w:t>/s/ Lawrence T. Weiss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980" w:type="dxa"/>
            <w:vAlign w:val="bottom"/>
          </w:tcPr>
          <w:p>
            <w:pPr>
              <w:spacing w:after="0"/>
              <w:rPr>
                <w:sz w:val="11"/>
                <w:szCs w:val="11"/>
                <w:color w:val="auto"/>
              </w:rPr>
            </w:pPr>
          </w:p>
        </w:tc>
        <w:tc>
          <w:tcPr>
            <w:tcW w:w="440" w:type="dxa"/>
            <w:vAlign w:val="bottom"/>
            <w:tcBorders>
              <w:top w:val="single" w:sz="8" w:color="auto"/>
            </w:tcBorders>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2400" w:type="dxa"/>
            <w:vAlign w:val="bottom"/>
            <w:tcBorders>
              <w:top w:val="single" w:sz="8" w:color="auto"/>
            </w:tcBorders>
          </w:tcPr>
          <w:p>
            <w:pPr>
              <w:ind w:left="140"/>
              <w:spacing w:after="0" w:line="132" w:lineRule="exact"/>
              <w:rPr>
                <w:sz w:val="20"/>
                <w:szCs w:val="20"/>
                <w:color w:val="auto"/>
              </w:rPr>
            </w:pPr>
            <w:r>
              <w:rPr>
                <w:rFonts w:ascii="Times New Roman" w:cs="Times New Roman" w:eastAsia="Times New Roman" w:hAnsi="Times New Roman"/>
                <w:sz w:val="12"/>
                <w:szCs w:val="12"/>
                <w:color w:val="auto"/>
              </w:rPr>
              <w:t>Lawrence T. Weiss</w:t>
            </w:r>
          </w:p>
        </w:tc>
        <w:tc>
          <w:tcPr>
            <w:tcW w:w="2480" w:type="dxa"/>
            <w:vAlign w:val="bottom"/>
          </w:tcPr>
          <w:p>
            <w:pPr>
              <w:spacing w:after="0"/>
              <w:rPr>
                <w:sz w:val="11"/>
                <w:szCs w:val="11"/>
                <w:color w:val="auto"/>
              </w:rPr>
            </w:pPr>
          </w:p>
        </w:tc>
      </w:tr>
      <w:tr>
        <w:trPr>
          <w:trHeight w:val="155"/>
        </w:trPr>
        <w:tc>
          <w:tcPr>
            <w:tcW w:w="598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Senior Vice President, Chief Legal Officer and Corporate Secretary</w:t>
            </w:r>
          </w:p>
        </w:tc>
      </w:tr>
      <w:tr>
        <w:trPr>
          <w:trHeight w:val="351"/>
        </w:trPr>
        <w:tc>
          <w:tcPr>
            <w:tcW w:w="5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886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886325"/>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86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886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69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869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2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892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2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892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2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892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897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89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54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549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2026-01-14T06:37:01Z</dcterms:created>
  <dcterms:modified xsi:type="dcterms:W3CDTF">2026-01-14T06:37:01Z</dcterms:modified>
</cp:coreProperties>
</file>