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7"/>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185420</wp:posOffset>
            </wp:positionH>
            <wp:positionV relativeFrom="page">
              <wp:posOffset>134620</wp:posOffset>
            </wp:positionV>
            <wp:extent cx="7178040" cy="228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8040" cy="22860"/>
                    </a:xfrm>
                    <a:prstGeom prst="rect">
                      <a:avLst/>
                    </a:prstGeom>
                    <a:noFill/>
                  </pic:spPr>
                </pic:pic>
              </a:graphicData>
            </a:graphic>
          </wp:anchor>
        </w:drawing>
        <w:drawing>
          <wp:anchor simplePos="0" relativeHeight="251657728" behindDoc="1" locked="0" layoutInCell="0" allowOverlap="1">
            <wp:simplePos x="0" y="0"/>
            <wp:positionH relativeFrom="page">
              <wp:posOffset>185420</wp:posOffset>
            </wp:positionH>
            <wp:positionV relativeFrom="page">
              <wp:posOffset>214630</wp:posOffset>
            </wp:positionV>
            <wp:extent cx="717804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8040" cy="5715"/>
                    </a:xfrm>
                    <a:prstGeom prst="rect">
                      <a:avLst/>
                    </a:prstGeom>
                    <a:noFill/>
                  </pic:spPr>
                </pic:pic>
              </a:graphicData>
            </a:graphic>
          </wp:anchor>
        </w:drawing>
        <w:t>UNITED STATES</w:t>
      </w:r>
    </w:p>
    <w:p>
      <w:pPr>
        <w:spacing w:after="0" w:line="21" w:lineRule="exact"/>
        <w:rPr>
          <w:sz w:val="24"/>
          <w:szCs w:val="24"/>
          <w:color w:val="auto"/>
        </w:rPr>
      </w:pPr>
    </w:p>
    <w:p>
      <w:pPr>
        <w:jc w:val="center"/>
        <w:ind w:right="-107"/>
        <w:spacing w:after="0"/>
        <w:rPr>
          <w:sz w:val="20"/>
          <w:szCs w:val="20"/>
          <w:color w:val="auto"/>
        </w:rPr>
      </w:pPr>
      <w:r>
        <w:rPr>
          <w:rFonts w:ascii="Times New Roman" w:cs="Times New Roman" w:eastAsia="Times New Roman" w:hAnsi="Times New Roman"/>
          <w:sz w:val="17"/>
          <w:szCs w:val="17"/>
          <w:b w:val="1"/>
          <w:bCs w:val="1"/>
          <w:color w:val="auto"/>
        </w:rPr>
        <w:t>SECURITIES AND EXCHANGE COMMISSION</w:t>
      </w:r>
    </w:p>
    <w:p>
      <w:pPr>
        <w:jc w:val="center"/>
        <w:ind w:right="-107"/>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3228975</wp:posOffset>
            </wp:positionH>
            <wp:positionV relativeFrom="paragraph">
              <wp:posOffset>127635</wp:posOffset>
            </wp:positionV>
            <wp:extent cx="720090" cy="114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0090" cy="11430"/>
                    </a:xfrm>
                    <a:prstGeom prst="rect">
                      <a:avLst/>
                    </a:prstGeom>
                    <a:noFill/>
                  </pic:spPr>
                </pic:pic>
              </a:graphicData>
            </a:graphic>
          </wp:anchor>
        </w:drawing>
      </w:r>
    </w:p>
    <w:p>
      <w:pPr>
        <w:spacing w:after="0" w:line="375" w:lineRule="exact"/>
        <w:rPr>
          <w:sz w:val="24"/>
          <w:szCs w:val="24"/>
          <w:color w:val="auto"/>
        </w:rPr>
      </w:pPr>
    </w:p>
    <w:p>
      <w:pPr>
        <w:jc w:val="center"/>
        <w:ind w:right="-107"/>
        <w:spacing w:after="0"/>
        <w:rPr>
          <w:sz w:val="20"/>
          <w:szCs w:val="20"/>
          <w:color w:val="auto"/>
        </w:rPr>
      </w:pPr>
      <w:r>
        <w:rPr>
          <w:rFonts w:ascii="Times New Roman" w:cs="Times New Roman" w:eastAsia="Times New Roman" w:hAnsi="Times New Roman"/>
          <w:sz w:val="22"/>
          <w:szCs w:val="22"/>
          <w:b w:val="1"/>
          <w:bCs w:val="1"/>
          <w:color w:val="auto"/>
        </w:rPr>
        <w:t>FORM 8-K</w:t>
      </w:r>
    </w:p>
    <w:p>
      <w:pPr>
        <w:spacing w:after="0" w:line="151" w:lineRule="exact"/>
        <w:rPr>
          <w:sz w:val="24"/>
          <w:szCs w:val="24"/>
          <w:color w:val="auto"/>
        </w:rPr>
      </w:pPr>
    </w:p>
    <w:p>
      <w:pPr>
        <w:jc w:val="center"/>
        <w:ind w:right="-107"/>
        <w:spacing w:after="0"/>
        <w:rPr>
          <w:sz w:val="20"/>
          <w:szCs w:val="20"/>
          <w:color w:val="auto"/>
        </w:rPr>
      </w:pPr>
      <w:r>
        <w:rPr>
          <w:rFonts w:ascii="Times New Roman" w:cs="Times New Roman" w:eastAsia="Times New Roman" w:hAnsi="Times New Roman"/>
          <w:sz w:val="12"/>
          <w:szCs w:val="12"/>
          <w:b w:val="1"/>
          <w:bCs w:val="1"/>
          <w:color w:val="auto"/>
        </w:rPr>
        <w:t>CURRENT REPORT</w:t>
      </w:r>
    </w:p>
    <w:p>
      <w:pPr>
        <w:spacing w:after="0" w:line="21" w:lineRule="exact"/>
        <w:rPr>
          <w:sz w:val="24"/>
          <w:szCs w:val="24"/>
          <w:color w:val="auto"/>
        </w:rPr>
      </w:pPr>
    </w:p>
    <w:p>
      <w:pPr>
        <w:jc w:val="center"/>
        <w:ind w:right="-107"/>
        <w:spacing w:after="0"/>
        <w:rPr>
          <w:sz w:val="20"/>
          <w:szCs w:val="20"/>
          <w:color w:val="auto"/>
        </w:rPr>
      </w:pPr>
      <w:r>
        <w:rPr>
          <w:rFonts w:ascii="Times New Roman" w:cs="Times New Roman" w:eastAsia="Times New Roman" w:hAnsi="Times New Roman"/>
          <w:sz w:val="12"/>
          <w:szCs w:val="12"/>
          <w:b w:val="1"/>
          <w:bCs w:val="1"/>
          <w:color w:val="auto"/>
        </w:rPr>
        <w:t>Pursuant to Section 13 or 15(d) of the</w:t>
      </w:r>
    </w:p>
    <w:p>
      <w:pPr>
        <w:spacing w:after="0" w:line="6" w:lineRule="exact"/>
        <w:rPr>
          <w:sz w:val="24"/>
          <w:szCs w:val="24"/>
          <w:color w:val="auto"/>
        </w:rPr>
      </w:pPr>
    </w:p>
    <w:p>
      <w:pPr>
        <w:jc w:val="center"/>
        <w:ind w:right="-107"/>
        <w:spacing w:after="0"/>
        <w:rPr>
          <w:sz w:val="20"/>
          <w:szCs w:val="20"/>
          <w:color w:val="auto"/>
        </w:rPr>
      </w:pPr>
      <w:r>
        <w:rPr>
          <w:rFonts w:ascii="Times New Roman" w:cs="Times New Roman" w:eastAsia="Times New Roman" w:hAnsi="Times New Roman"/>
          <w:sz w:val="12"/>
          <w:szCs w:val="12"/>
          <w:b w:val="1"/>
          <w:bCs w:val="1"/>
          <w:color w:val="auto"/>
        </w:rPr>
        <w:t>Securities Exchange Act of 1934</w:t>
      </w:r>
    </w:p>
    <w:p>
      <w:pPr>
        <w:spacing w:after="0" w:line="135" w:lineRule="exact"/>
        <w:rPr>
          <w:sz w:val="24"/>
          <w:szCs w:val="24"/>
          <w:color w:val="auto"/>
        </w:rPr>
      </w:pPr>
    </w:p>
    <w:p>
      <w:pPr>
        <w:jc w:val="center"/>
        <w:ind w:right="-107"/>
        <w:spacing w:after="0"/>
        <w:rPr>
          <w:sz w:val="20"/>
          <w:szCs w:val="20"/>
          <w:color w:val="auto"/>
        </w:rPr>
      </w:pPr>
      <w:r>
        <w:rPr>
          <w:rFonts w:ascii="Times New Roman" w:cs="Times New Roman" w:eastAsia="Times New Roman" w:hAnsi="Times New Roman"/>
          <w:sz w:val="12"/>
          <w:szCs w:val="12"/>
          <w:color w:val="auto"/>
        </w:rPr>
        <w:t xml:space="preserve">Date of Report (Date of earliest event reported): </w:t>
      </w:r>
      <w:r>
        <w:rPr>
          <w:rFonts w:ascii="Times New Roman" w:cs="Times New Roman" w:eastAsia="Times New Roman" w:hAnsi="Times New Roman"/>
          <w:sz w:val="12"/>
          <w:szCs w:val="12"/>
          <w:b w:val="1"/>
          <w:bCs w:val="1"/>
          <w:color w:val="auto"/>
        </w:rPr>
        <w:t>April 2, 2026</w:t>
      </w:r>
    </w:p>
    <w:p>
      <w:pPr>
        <w:spacing w:after="0" w:line="131" w:lineRule="exact"/>
        <w:rPr>
          <w:sz w:val="24"/>
          <w:szCs w:val="24"/>
          <w:color w:val="auto"/>
        </w:rPr>
      </w:pPr>
    </w:p>
    <w:p>
      <w:pPr>
        <w:jc w:val="center"/>
        <w:ind w:right="-107"/>
        <w:spacing w:after="0"/>
        <w:rPr>
          <w:sz w:val="20"/>
          <w:szCs w:val="20"/>
          <w:color w:val="auto"/>
        </w:rPr>
      </w:pPr>
      <w:r>
        <w:rPr>
          <w:rFonts w:ascii="Times New Roman" w:cs="Times New Roman" w:eastAsia="Times New Roman" w:hAnsi="Times New Roman"/>
          <w:sz w:val="29"/>
          <w:szCs w:val="29"/>
          <w:b w:val="1"/>
          <w:bCs w:val="1"/>
          <w:color w:val="auto"/>
        </w:rPr>
        <w:t>AngioDynamics, Inc.</w:t>
      </w:r>
    </w:p>
    <w:p>
      <w:pPr>
        <w:spacing w:after="0" w:line="34" w:lineRule="exact"/>
        <w:rPr>
          <w:sz w:val="24"/>
          <w:szCs w:val="24"/>
          <w:color w:val="auto"/>
        </w:rPr>
      </w:pPr>
    </w:p>
    <w:p>
      <w:pPr>
        <w:jc w:val="center"/>
        <w:ind w:right="-107"/>
        <w:spacing w:after="0"/>
        <w:rPr>
          <w:sz w:val="20"/>
          <w:szCs w:val="20"/>
          <w:color w:val="auto"/>
        </w:rPr>
      </w:pPr>
      <w:r>
        <w:rPr>
          <w:rFonts w:ascii="Times New Roman" w:cs="Times New Roman" w:eastAsia="Times New Roman" w:hAnsi="Times New Roman"/>
          <w:sz w:val="12"/>
          <w:szCs w:val="12"/>
          <w:color w:val="auto"/>
        </w:rPr>
        <w:t>(Exact Name of Registrant as Specified in Charter)</w:t>
      </w:r>
    </w:p>
    <w:p>
      <w:pPr>
        <w:spacing w:after="0" w:line="134" w:lineRule="exact"/>
        <w:rPr>
          <w:sz w:val="24"/>
          <w:szCs w:val="24"/>
          <w:color w:val="auto"/>
        </w:rPr>
      </w:pPr>
    </w:p>
    <w:tbl>
      <w:tblPr>
        <w:tblLayout w:type="fixed"/>
        <w:tblInd w:w="808" w:type="dxa"/>
        <w:tblCellMar>
          <w:top w:w="0" w:type="dxa"/>
          <w:left w:w="0" w:type="dxa"/>
          <w:bottom w:w="0" w:type="dxa"/>
          <w:right w:w="0" w:type="dxa"/>
        </w:tblCellMar>
      </w:tblPr>
      <w:tr>
        <w:trPr>
          <w:trHeight w:val="159"/>
        </w:trPr>
        <w:tc>
          <w:tcPr>
            <w:tcW w:w="3580" w:type="dxa"/>
            <w:vAlign w:val="bottom"/>
          </w:tcPr>
          <w:p>
            <w:pPr>
              <w:jc w:val="center"/>
              <w:ind w:right="1360"/>
              <w:spacing w:after="0"/>
              <w:rPr>
                <w:sz w:val="20"/>
                <w:szCs w:val="20"/>
                <w:color w:val="auto"/>
              </w:rPr>
            </w:pPr>
            <w:r>
              <w:rPr>
                <w:rFonts w:ascii="Times New Roman" w:cs="Times New Roman" w:eastAsia="Times New Roman" w:hAnsi="Times New Roman"/>
                <w:sz w:val="12"/>
                <w:szCs w:val="12"/>
                <w:b w:val="1"/>
                <w:bCs w:val="1"/>
                <w:color w:val="auto"/>
                <w:w w:val="98"/>
              </w:rPr>
              <w:t>Delaware</w:t>
            </w:r>
          </w:p>
        </w:tc>
        <w:tc>
          <w:tcPr>
            <w:tcW w:w="2920" w:type="dxa"/>
            <w:vAlign w:val="bottom"/>
          </w:tcPr>
          <w:p>
            <w:pPr>
              <w:jc w:val="right"/>
              <w:ind w:right="1300"/>
              <w:spacing w:after="0"/>
              <w:rPr>
                <w:sz w:val="20"/>
                <w:szCs w:val="20"/>
                <w:color w:val="auto"/>
              </w:rPr>
            </w:pPr>
            <w:r>
              <w:rPr>
                <w:rFonts w:ascii="Times New Roman" w:cs="Times New Roman" w:eastAsia="Times New Roman" w:hAnsi="Times New Roman"/>
                <w:sz w:val="12"/>
                <w:szCs w:val="12"/>
                <w:b w:val="1"/>
                <w:bCs w:val="1"/>
                <w:color w:val="auto"/>
              </w:rPr>
              <w:t>000-50761</w:t>
            </w:r>
          </w:p>
        </w:tc>
        <w:tc>
          <w:tcPr>
            <w:tcW w:w="2980" w:type="dxa"/>
            <w:vAlign w:val="bottom"/>
          </w:tcPr>
          <w:p>
            <w:pPr>
              <w:jc w:val="right"/>
              <w:ind w:right="480"/>
              <w:spacing w:after="0"/>
              <w:rPr>
                <w:sz w:val="20"/>
                <w:szCs w:val="20"/>
                <w:color w:val="auto"/>
              </w:rPr>
            </w:pPr>
            <w:r>
              <w:rPr>
                <w:rFonts w:ascii="Times New Roman" w:cs="Times New Roman" w:eastAsia="Times New Roman" w:hAnsi="Times New Roman"/>
                <w:sz w:val="12"/>
                <w:szCs w:val="12"/>
                <w:b w:val="1"/>
                <w:bCs w:val="1"/>
                <w:color w:val="auto"/>
              </w:rPr>
              <w:t>11-3146460</w:t>
            </w:r>
          </w:p>
        </w:tc>
      </w:tr>
      <w:tr>
        <w:trPr>
          <w:trHeight w:val="288"/>
        </w:trPr>
        <w:tc>
          <w:tcPr>
            <w:tcW w:w="3580" w:type="dxa"/>
            <w:vAlign w:val="bottom"/>
          </w:tcPr>
          <w:p>
            <w:pPr>
              <w:jc w:val="center"/>
              <w:ind w:right="1360"/>
              <w:spacing w:after="0"/>
              <w:rPr>
                <w:sz w:val="20"/>
                <w:szCs w:val="20"/>
                <w:color w:val="auto"/>
              </w:rPr>
            </w:pPr>
            <w:r>
              <w:rPr>
                <w:rFonts w:ascii="Times New Roman" w:cs="Times New Roman" w:eastAsia="Times New Roman" w:hAnsi="Times New Roman"/>
                <w:sz w:val="12"/>
                <w:szCs w:val="12"/>
                <w:color w:val="auto"/>
              </w:rPr>
              <w:t>(State or Other Jurisdiction of Incorporation)</w:t>
            </w:r>
          </w:p>
        </w:tc>
        <w:tc>
          <w:tcPr>
            <w:tcW w:w="2920" w:type="dxa"/>
            <w:vAlign w:val="bottom"/>
          </w:tcPr>
          <w:p>
            <w:pPr>
              <w:jc w:val="center"/>
              <w:ind w:right="260"/>
              <w:spacing w:after="0"/>
              <w:rPr>
                <w:sz w:val="20"/>
                <w:szCs w:val="20"/>
                <w:color w:val="auto"/>
              </w:rPr>
            </w:pPr>
            <w:r>
              <w:rPr>
                <w:rFonts w:ascii="Times New Roman" w:cs="Times New Roman" w:eastAsia="Times New Roman" w:hAnsi="Times New Roman"/>
                <w:sz w:val="12"/>
                <w:szCs w:val="12"/>
                <w:color w:val="auto"/>
                <w:w w:val="99"/>
              </w:rPr>
              <w:t>(Commission File Number)</w:t>
            </w:r>
          </w:p>
        </w:tc>
        <w:tc>
          <w:tcPr>
            <w:tcW w:w="2980" w:type="dxa"/>
            <w:vAlign w:val="bottom"/>
          </w:tcPr>
          <w:p>
            <w:pPr>
              <w:jc w:val="center"/>
              <w:ind w:left="1260"/>
              <w:spacing w:after="0"/>
              <w:rPr>
                <w:sz w:val="20"/>
                <w:szCs w:val="20"/>
                <w:color w:val="auto"/>
              </w:rPr>
            </w:pPr>
            <w:r>
              <w:rPr>
                <w:rFonts w:ascii="Times New Roman" w:cs="Times New Roman" w:eastAsia="Times New Roman" w:hAnsi="Times New Roman"/>
                <w:sz w:val="12"/>
                <w:szCs w:val="12"/>
                <w:color w:val="auto"/>
              </w:rPr>
              <w:t>(IRS Employer Identification No.)</w:t>
            </w:r>
          </w:p>
        </w:tc>
      </w:tr>
      <w:tr>
        <w:trPr>
          <w:trHeight w:val="288"/>
        </w:trPr>
        <w:tc>
          <w:tcPr>
            <w:tcW w:w="3580" w:type="dxa"/>
            <w:vAlign w:val="bottom"/>
          </w:tcPr>
          <w:p>
            <w:pPr>
              <w:jc w:val="center"/>
              <w:ind w:left="300"/>
              <w:spacing w:after="0"/>
              <w:rPr>
                <w:sz w:val="20"/>
                <w:szCs w:val="20"/>
                <w:color w:val="auto"/>
              </w:rPr>
            </w:pPr>
            <w:r>
              <w:rPr>
                <w:rFonts w:ascii="Times New Roman" w:cs="Times New Roman" w:eastAsia="Times New Roman" w:hAnsi="Times New Roman"/>
                <w:sz w:val="12"/>
                <w:szCs w:val="12"/>
                <w:b w:val="1"/>
                <w:bCs w:val="1"/>
                <w:color w:val="auto"/>
                <w:w w:val="99"/>
              </w:rPr>
              <w:t>14 Plaza Drive, Latham, New York</w:t>
            </w:r>
          </w:p>
        </w:tc>
        <w:tc>
          <w:tcPr>
            <w:tcW w:w="2920" w:type="dxa"/>
            <w:vAlign w:val="bottom"/>
          </w:tcPr>
          <w:p>
            <w:pPr>
              <w:spacing w:after="0"/>
              <w:rPr>
                <w:sz w:val="24"/>
                <w:szCs w:val="24"/>
                <w:color w:val="auto"/>
              </w:rPr>
            </w:pPr>
          </w:p>
        </w:tc>
        <w:tc>
          <w:tcPr>
            <w:tcW w:w="2980" w:type="dxa"/>
            <w:vAlign w:val="bottom"/>
          </w:tcPr>
          <w:p>
            <w:pPr>
              <w:jc w:val="right"/>
              <w:ind w:right="1540"/>
              <w:spacing w:after="0"/>
              <w:rPr>
                <w:sz w:val="20"/>
                <w:szCs w:val="20"/>
                <w:color w:val="auto"/>
              </w:rPr>
            </w:pPr>
            <w:r>
              <w:rPr>
                <w:rFonts w:ascii="Times New Roman" w:cs="Times New Roman" w:eastAsia="Times New Roman" w:hAnsi="Times New Roman"/>
                <w:sz w:val="12"/>
                <w:szCs w:val="12"/>
                <w:b w:val="1"/>
                <w:bCs w:val="1"/>
                <w:color w:val="auto"/>
              </w:rPr>
              <w:t>12110</w:t>
            </w:r>
          </w:p>
        </w:tc>
      </w:tr>
      <w:tr>
        <w:trPr>
          <w:trHeight w:val="288"/>
        </w:trPr>
        <w:tc>
          <w:tcPr>
            <w:tcW w:w="3580" w:type="dxa"/>
            <w:vAlign w:val="bottom"/>
          </w:tcPr>
          <w:p>
            <w:pPr>
              <w:jc w:val="center"/>
              <w:ind w:left="280"/>
              <w:spacing w:after="0"/>
              <w:rPr>
                <w:sz w:val="20"/>
                <w:szCs w:val="20"/>
                <w:color w:val="auto"/>
              </w:rPr>
            </w:pPr>
            <w:r>
              <w:rPr>
                <w:rFonts w:ascii="Times New Roman" w:cs="Times New Roman" w:eastAsia="Times New Roman" w:hAnsi="Times New Roman"/>
                <w:sz w:val="12"/>
                <w:szCs w:val="12"/>
                <w:color w:val="auto"/>
              </w:rPr>
              <w:t>(Address of Principal Executive Offices)</w:t>
            </w:r>
          </w:p>
        </w:tc>
        <w:tc>
          <w:tcPr>
            <w:tcW w:w="2920" w:type="dxa"/>
            <w:vAlign w:val="bottom"/>
          </w:tcPr>
          <w:p>
            <w:pPr>
              <w:spacing w:after="0"/>
              <w:rPr>
                <w:sz w:val="24"/>
                <w:szCs w:val="24"/>
                <w:color w:val="auto"/>
              </w:rPr>
            </w:pPr>
          </w:p>
        </w:tc>
        <w:tc>
          <w:tcPr>
            <w:tcW w:w="2980" w:type="dxa"/>
            <w:vAlign w:val="bottom"/>
          </w:tcPr>
          <w:p>
            <w:pPr>
              <w:jc w:val="center"/>
              <w:ind w:right="460"/>
              <w:spacing w:after="0"/>
              <w:rPr>
                <w:sz w:val="20"/>
                <w:szCs w:val="20"/>
                <w:color w:val="auto"/>
              </w:rPr>
            </w:pPr>
            <w:r>
              <w:rPr>
                <w:rFonts w:ascii="Times New Roman" w:cs="Times New Roman" w:eastAsia="Times New Roman" w:hAnsi="Times New Roman"/>
                <w:sz w:val="12"/>
                <w:szCs w:val="12"/>
                <w:color w:val="auto"/>
              </w:rPr>
              <w:t>(Zip Code)</w:t>
            </w:r>
          </w:p>
        </w:tc>
      </w:tr>
      <w:tr>
        <w:trPr>
          <w:trHeight w:val="288"/>
        </w:trPr>
        <w:tc>
          <w:tcPr>
            <w:tcW w:w="3580" w:type="dxa"/>
            <w:vAlign w:val="bottom"/>
          </w:tcPr>
          <w:p>
            <w:pPr>
              <w:spacing w:after="0"/>
              <w:rPr>
                <w:sz w:val="24"/>
                <w:szCs w:val="24"/>
                <w:color w:val="auto"/>
              </w:rPr>
            </w:pPr>
          </w:p>
        </w:tc>
        <w:tc>
          <w:tcPr>
            <w:tcW w:w="2920" w:type="dxa"/>
            <w:vAlign w:val="bottom"/>
          </w:tcPr>
          <w:p>
            <w:pPr>
              <w:jc w:val="right"/>
              <w:ind w:right="1220"/>
              <w:spacing w:after="0"/>
              <w:rPr>
                <w:sz w:val="20"/>
                <w:szCs w:val="20"/>
                <w:color w:val="auto"/>
              </w:rPr>
            </w:pPr>
            <w:r>
              <w:rPr>
                <w:rFonts w:ascii="Times New Roman" w:cs="Times New Roman" w:eastAsia="Times New Roman" w:hAnsi="Times New Roman"/>
                <w:sz w:val="12"/>
                <w:szCs w:val="12"/>
                <w:b w:val="1"/>
                <w:bCs w:val="1"/>
                <w:color w:val="auto"/>
              </w:rPr>
              <w:t>(518) 795-1400</w:t>
            </w:r>
          </w:p>
        </w:tc>
        <w:tc>
          <w:tcPr>
            <w:tcW w:w="2980" w:type="dxa"/>
            <w:vAlign w:val="bottom"/>
          </w:tcPr>
          <w:p>
            <w:pPr>
              <w:spacing w:after="0"/>
              <w:rPr>
                <w:sz w:val="24"/>
                <w:szCs w:val="24"/>
                <w:color w:val="auto"/>
              </w:rPr>
            </w:pPr>
          </w:p>
        </w:tc>
      </w:tr>
    </w:tbl>
    <w:p>
      <w:pPr>
        <w:spacing w:after="0" w:line="133" w:lineRule="exact"/>
        <w:rPr>
          <w:sz w:val="24"/>
          <w:szCs w:val="24"/>
          <w:color w:val="auto"/>
        </w:rPr>
      </w:pPr>
    </w:p>
    <w:p>
      <w:pPr>
        <w:jc w:val="center"/>
        <w:ind w:right="-107"/>
        <w:spacing w:after="0"/>
        <w:rPr>
          <w:sz w:val="20"/>
          <w:szCs w:val="20"/>
          <w:color w:val="auto"/>
        </w:rPr>
      </w:pPr>
      <w:r>
        <w:rPr>
          <w:rFonts w:ascii="Times New Roman" w:cs="Times New Roman" w:eastAsia="Times New Roman" w:hAnsi="Times New Roman"/>
          <w:sz w:val="12"/>
          <w:szCs w:val="12"/>
          <w:color w:val="auto"/>
        </w:rPr>
        <w:t>(Registrant’s telephone number, including area code)</w:t>
      </w:r>
    </w:p>
    <w:p>
      <w:pPr>
        <w:spacing w:after="0" w:line="150" w:lineRule="exact"/>
        <w:rPr>
          <w:sz w:val="24"/>
          <w:szCs w:val="24"/>
          <w:color w:val="auto"/>
        </w:rPr>
      </w:pPr>
    </w:p>
    <w:p>
      <w:pPr>
        <w:ind w:left="8"/>
        <w:spacing w:after="0"/>
        <w:rPr>
          <w:sz w:val="20"/>
          <w:szCs w:val="20"/>
          <w:color w:val="auto"/>
        </w:rPr>
      </w:pPr>
      <w:r>
        <w:rPr>
          <w:rFonts w:ascii="Times New Roman" w:cs="Times New Roman" w:eastAsia="Times New Roman" w:hAnsi="Times New Roman"/>
          <w:sz w:val="12"/>
          <w:szCs w:val="12"/>
          <w:color w:val="auto"/>
        </w:rPr>
        <w:t>Check the appropriate box below if the Form 8-K filing is intended to simultaneously satisfy the filing obligation of the registrant under any of the following provisions:</w:t>
      </w:r>
    </w:p>
    <w:p>
      <w:pPr>
        <w:spacing w:after="0" w:line="150" w:lineRule="exact"/>
        <w:rPr>
          <w:sz w:val="24"/>
          <w:szCs w:val="24"/>
          <w:color w:val="auto"/>
        </w:rPr>
      </w:pPr>
    </w:p>
    <w:p>
      <w:pPr>
        <w:ind w:left="208" w:hanging="208"/>
        <w:spacing w:after="0"/>
        <w:tabs>
          <w:tab w:leader="none" w:pos="208"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Written communications pursuant to Rule 425 under the Securities Act (17 CFR 230.425)</w:t>
      </w:r>
    </w:p>
    <w:p>
      <w:pPr>
        <w:spacing w:after="0" w:line="150" w:lineRule="exact"/>
        <w:rPr>
          <w:rFonts w:ascii="MS PGothic" w:cs="MS PGothic" w:eastAsia="MS PGothic" w:hAnsi="MS PGothic"/>
          <w:sz w:val="12"/>
          <w:szCs w:val="12"/>
          <w:color w:val="auto"/>
        </w:rPr>
      </w:pPr>
    </w:p>
    <w:p>
      <w:pPr>
        <w:ind w:left="208" w:hanging="208"/>
        <w:spacing w:after="0"/>
        <w:tabs>
          <w:tab w:leader="none" w:pos="208"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Soliciting material pursuant to Rule 14a-12 under the Exchange Act (17 CFR 240.14a-12)</w:t>
      </w:r>
    </w:p>
    <w:p>
      <w:pPr>
        <w:spacing w:after="0" w:line="150" w:lineRule="exact"/>
        <w:rPr>
          <w:rFonts w:ascii="MS PGothic" w:cs="MS PGothic" w:eastAsia="MS PGothic" w:hAnsi="MS PGothic"/>
          <w:sz w:val="12"/>
          <w:szCs w:val="12"/>
          <w:color w:val="auto"/>
        </w:rPr>
      </w:pPr>
    </w:p>
    <w:p>
      <w:pPr>
        <w:ind w:left="208" w:hanging="208"/>
        <w:spacing w:after="0"/>
        <w:tabs>
          <w:tab w:leader="none" w:pos="208"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14d-2(b) under the Exchange Act (17 CFR 240.14d-2 (b))</w:t>
      </w:r>
    </w:p>
    <w:p>
      <w:pPr>
        <w:spacing w:after="0" w:line="150" w:lineRule="exact"/>
        <w:rPr>
          <w:rFonts w:ascii="MS PGothic" w:cs="MS PGothic" w:eastAsia="MS PGothic" w:hAnsi="MS PGothic"/>
          <w:sz w:val="12"/>
          <w:szCs w:val="12"/>
          <w:color w:val="auto"/>
        </w:rPr>
      </w:pPr>
    </w:p>
    <w:p>
      <w:pPr>
        <w:ind w:left="208" w:hanging="208"/>
        <w:spacing w:after="0"/>
        <w:tabs>
          <w:tab w:leader="none" w:pos="208"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13e-4(c) under the Exchange Act (17 CFR 240.13e-4 (c))</w:t>
      </w:r>
    </w:p>
    <w:p>
      <w:pPr>
        <w:spacing w:after="0" w:line="146" w:lineRule="exact"/>
        <w:rPr>
          <w:sz w:val="24"/>
          <w:szCs w:val="24"/>
          <w:color w:val="auto"/>
        </w:rPr>
      </w:pPr>
    </w:p>
    <w:tbl>
      <w:tblPr>
        <w:tblLayout w:type="fixed"/>
        <w:tblInd w:w="8" w:type="dxa"/>
        <w:tblCellMar>
          <w:top w:w="0" w:type="dxa"/>
          <w:left w:w="0" w:type="dxa"/>
          <w:bottom w:w="0" w:type="dxa"/>
          <w:right w:w="0" w:type="dxa"/>
        </w:tblCellMar>
      </w:tblPr>
      <w:tr>
        <w:trPr>
          <w:trHeight w:val="159"/>
        </w:trPr>
        <w:tc>
          <w:tcPr>
            <w:tcW w:w="406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Securities registered pursuant to Section 12(b) of the Act:</w:t>
            </w:r>
          </w:p>
        </w:tc>
        <w:tc>
          <w:tcPr>
            <w:tcW w:w="1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261"/>
        </w:trPr>
        <w:tc>
          <w:tcPr>
            <w:tcW w:w="40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Title of each class</w:t>
            </w:r>
          </w:p>
        </w:tc>
        <w:tc>
          <w:tcPr>
            <w:tcW w:w="3280" w:type="dxa"/>
            <w:vAlign w:val="bottom"/>
            <w:gridSpan w:val="3"/>
          </w:tcPr>
          <w:p>
            <w:pPr>
              <w:jc w:val="center"/>
              <w:ind w:right="100"/>
              <w:spacing w:after="0"/>
              <w:rPr>
                <w:sz w:val="20"/>
                <w:szCs w:val="20"/>
                <w:color w:val="auto"/>
              </w:rPr>
            </w:pPr>
            <w:r>
              <w:rPr>
                <w:rFonts w:ascii="Times New Roman" w:cs="Times New Roman" w:eastAsia="Times New Roman" w:hAnsi="Times New Roman"/>
                <w:sz w:val="12"/>
                <w:szCs w:val="12"/>
                <w:color w:val="auto"/>
                <w:w w:val="98"/>
              </w:rPr>
              <w:t>Trading Symbol(s)</w:t>
            </w:r>
          </w:p>
        </w:tc>
        <w:tc>
          <w:tcPr>
            <w:tcW w:w="1620" w:type="dxa"/>
            <w:vAlign w:val="bottom"/>
            <w:gridSpan w:val="2"/>
          </w:tcPr>
          <w:p>
            <w:pPr>
              <w:spacing w:after="0"/>
              <w:rPr>
                <w:sz w:val="20"/>
                <w:szCs w:val="20"/>
                <w:color w:val="auto"/>
              </w:rPr>
            </w:pPr>
            <w:r>
              <w:rPr>
                <w:rFonts w:ascii="Times New Roman" w:cs="Times New Roman" w:eastAsia="Times New Roman" w:hAnsi="Times New Roman"/>
                <w:sz w:val="12"/>
                <w:szCs w:val="12"/>
                <w:color w:val="auto"/>
                <w:w w:val="98"/>
              </w:rPr>
              <w:t>Name of each exchange on which</w:t>
            </w:r>
          </w:p>
        </w:tc>
      </w:tr>
      <w:tr>
        <w:trPr>
          <w:trHeight w:val="124"/>
        </w:trPr>
        <w:tc>
          <w:tcPr>
            <w:tcW w:w="860" w:type="dxa"/>
            <w:vAlign w:val="bottom"/>
            <w:tcBorders>
              <w:top w:val="single" w:sz="8" w:color="auto"/>
            </w:tcBorders>
          </w:tcPr>
          <w:p>
            <w:pPr>
              <w:spacing w:after="0"/>
              <w:rPr>
                <w:sz w:val="10"/>
                <w:szCs w:val="10"/>
                <w:color w:val="auto"/>
              </w:rPr>
            </w:pPr>
          </w:p>
        </w:tc>
        <w:tc>
          <w:tcPr>
            <w:tcW w:w="32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1240" w:type="dxa"/>
            <w:vAlign w:val="bottom"/>
          </w:tcPr>
          <w:p>
            <w:pPr>
              <w:spacing w:after="0"/>
              <w:rPr>
                <w:sz w:val="10"/>
                <w:szCs w:val="10"/>
                <w:color w:val="auto"/>
              </w:rPr>
            </w:pPr>
          </w:p>
        </w:tc>
        <w:tc>
          <w:tcPr>
            <w:tcW w:w="480" w:type="dxa"/>
            <w:vAlign w:val="bottom"/>
            <w:tcBorders>
              <w:top w:val="single" w:sz="8" w:color="auto"/>
              <w:bottom w:val="single" w:sz="8" w:color="auto"/>
            </w:tcBorders>
          </w:tcPr>
          <w:p>
            <w:pPr>
              <w:spacing w:after="0" w:line="124" w:lineRule="exact"/>
              <w:rPr>
                <w:sz w:val="20"/>
                <w:szCs w:val="20"/>
                <w:color w:val="auto"/>
              </w:rPr>
            </w:pPr>
            <w:r>
              <w:rPr>
                <w:rFonts w:ascii="Times New Roman" w:cs="Times New Roman" w:eastAsia="Times New Roman" w:hAnsi="Times New Roman"/>
                <w:sz w:val="12"/>
                <w:szCs w:val="12"/>
                <w:color w:val="auto"/>
                <w:w w:val="97"/>
              </w:rPr>
              <w:t>registered</w:t>
            </w:r>
          </w:p>
        </w:tc>
        <w:tc>
          <w:tcPr>
            <w:tcW w:w="1140" w:type="dxa"/>
            <w:vAlign w:val="bottom"/>
            <w:tcBorders>
              <w:top w:val="single" w:sz="8" w:color="auto"/>
            </w:tcBorders>
          </w:tcPr>
          <w:p>
            <w:pPr>
              <w:spacing w:after="0"/>
              <w:rPr>
                <w:sz w:val="10"/>
                <w:szCs w:val="10"/>
                <w:color w:val="auto"/>
              </w:rPr>
            </w:pPr>
          </w:p>
        </w:tc>
      </w:tr>
      <w:tr>
        <w:trPr>
          <w:trHeight w:val="151"/>
        </w:trPr>
        <w:tc>
          <w:tcPr>
            <w:tcW w:w="40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Common Stock, par value $0.01 per share</w:t>
            </w:r>
          </w:p>
        </w:tc>
        <w:tc>
          <w:tcPr>
            <w:tcW w:w="1140" w:type="dxa"/>
            <w:vAlign w:val="bottom"/>
          </w:tcPr>
          <w:p>
            <w:pPr>
              <w:spacing w:after="0"/>
              <w:rPr>
                <w:sz w:val="13"/>
                <w:szCs w:val="13"/>
                <w:color w:val="auto"/>
              </w:rPr>
            </w:pPr>
          </w:p>
        </w:tc>
        <w:tc>
          <w:tcPr>
            <w:tcW w:w="2140" w:type="dxa"/>
            <w:vAlign w:val="bottom"/>
            <w:gridSpan w:val="2"/>
          </w:tcPr>
          <w:p>
            <w:pPr>
              <w:jc w:val="center"/>
              <w:ind w:right="1240"/>
              <w:spacing w:after="0"/>
              <w:rPr>
                <w:sz w:val="20"/>
                <w:szCs w:val="20"/>
                <w:color w:val="auto"/>
              </w:rPr>
            </w:pPr>
            <w:r>
              <w:rPr>
                <w:rFonts w:ascii="Times New Roman" w:cs="Times New Roman" w:eastAsia="Times New Roman" w:hAnsi="Times New Roman"/>
                <w:sz w:val="12"/>
                <w:szCs w:val="12"/>
                <w:color w:val="auto"/>
                <w:w w:val="97"/>
              </w:rPr>
              <w:t>ANGO</w:t>
            </w:r>
          </w:p>
        </w:tc>
        <w:tc>
          <w:tcPr>
            <w:tcW w:w="16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NASDAQ Global Select Market</w:t>
            </w:r>
          </w:p>
        </w:tc>
      </w:tr>
    </w:tbl>
    <w:p>
      <w:pPr>
        <w:spacing w:after="0" w:line="133" w:lineRule="exact"/>
        <w:rPr>
          <w:sz w:val="24"/>
          <w:szCs w:val="24"/>
          <w:color w:val="auto"/>
        </w:rPr>
      </w:pPr>
    </w:p>
    <w:p>
      <w:pPr>
        <w:ind w:left="8" w:right="80"/>
        <w:spacing w:after="0" w:line="279" w:lineRule="auto"/>
        <w:rPr>
          <w:sz w:val="20"/>
          <w:szCs w:val="20"/>
          <w:color w:val="auto"/>
        </w:rPr>
      </w:pPr>
      <w:r>
        <w:rPr>
          <w:rFonts w:ascii="Times New Roman" w:cs="Times New Roman" w:eastAsia="Times New Roman" w:hAnsi="Times New Roman"/>
          <w:sz w:val="12"/>
          <w:szCs w:val="12"/>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83" w:lineRule="exact"/>
        <w:rPr>
          <w:sz w:val="24"/>
          <w:szCs w:val="24"/>
          <w:color w:val="auto"/>
        </w:rPr>
      </w:pPr>
    </w:p>
    <w:p>
      <w:pPr>
        <w:ind w:left="8"/>
        <w:spacing w:after="0" w:line="138" w:lineRule="exact"/>
        <w:rPr>
          <w:sz w:val="20"/>
          <w:szCs w:val="20"/>
          <w:color w:val="auto"/>
        </w:rPr>
      </w:pPr>
      <w:r>
        <w:rPr>
          <w:rFonts w:ascii="Times New Roman" w:cs="Times New Roman" w:eastAsia="Times New Roman" w:hAnsi="Times New Roman"/>
          <w:sz w:val="12"/>
          <w:szCs w:val="12"/>
          <w:color w:val="auto"/>
        </w:rPr>
        <w:t xml:space="preserve">Emerging growth company </w:t>
      </w:r>
      <w:r>
        <w:rPr>
          <w:rFonts w:ascii="MS PGothic" w:cs="MS PGothic" w:eastAsia="MS PGothic" w:hAnsi="MS PGothic"/>
          <w:sz w:val="12"/>
          <w:szCs w:val="12"/>
          <w:color w:val="auto"/>
        </w:rPr>
        <w:t>☐</w:t>
      </w:r>
    </w:p>
    <w:p>
      <w:pPr>
        <w:spacing w:after="0" w:line="178" w:lineRule="exact"/>
        <w:rPr>
          <w:sz w:val="24"/>
          <w:szCs w:val="24"/>
          <w:color w:val="auto"/>
        </w:rPr>
      </w:pPr>
    </w:p>
    <w:p>
      <w:pPr>
        <w:ind w:left="8"/>
        <w:spacing w:after="0" w:line="159" w:lineRule="exact"/>
        <w:rPr>
          <w:sz w:val="20"/>
          <w:szCs w:val="20"/>
          <w:color w:val="auto"/>
        </w:rPr>
      </w:pPr>
      <w:r>
        <w:rPr>
          <w:rFonts w:ascii="Times New Roman" w:cs="Times New Roman" w:eastAsia="Times New Roman" w:hAnsi="Times New Roman"/>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120650</wp:posOffset>
            </wp:positionV>
            <wp:extent cx="717804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8040" cy="57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183515</wp:posOffset>
            </wp:positionV>
            <wp:extent cx="7178040" cy="228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8040" cy="2286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280670</wp:posOffset>
            </wp:positionV>
            <wp:extent cx="7178040" cy="114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208"/>
          </w:cols>
          <w:pgMar w:left="292" w:top="391" w:right="39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2"/>
          <w:szCs w:val="12"/>
          <w:b w:val="1"/>
          <w:bCs w:val="1"/>
          <w:color w:val="auto"/>
        </w:rPr>
        <w:t>Item 2.02 – Results of Operations and Financial Condition.</w:t>
      </w:r>
    </w:p>
    <w:p>
      <w:pPr>
        <w:spacing w:after="0" w:line="15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2"/>
          <w:szCs w:val="12"/>
          <w:color w:val="auto"/>
        </w:rPr>
        <w:t>On April 2, 2026, AngioDynamics, Inc. (“AngioDynamics”) issued a press release announcing financial results for the fiscal third quarter ended February 28, 2026. A copy of the press release is furnished herewith as Exhibit 99.1.</w:t>
      </w:r>
    </w:p>
    <w:p>
      <w:pPr>
        <w:spacing w:after="0" w:line="150" w:lineRule="exact"/>
        <w:rPr>
          <w:sz w:val="20"/>
          <w:szCs w:val="20"/>
          <w:color w:val="auto"/>
        </w:rPr>
      </w:pPr>
    </w:p>
    <w:p>
      <w:pPr>
        <w:jc w:val="both"/>
        <w:ind w:firstLine="270"/>
        <w:spacing w:after="0" w:line="265" w:lineRule="auto"/>
        <w:rPr>
          <w:sz w:val="20"/>
          <w:szCs w:val="20"/>
          <w:color w:val="auto"/>
        </w:rPr>
      </w:pPr>
      <w:r>
        <w:rPr>
          <w:rFonts w:ascii="Times New Roman" w:cs="Times New Roman" w:eastAsia="Times New Roman" w:hAnsi="Times New Roman"/>
          <w:sz w:val="12"/>
          <w:szCs w:val="12"/>
          <w:color w:val="auto"/>
        </w:rPr>
        <w:t>The information set forth in Item 2.02 of this Form 8-K (including Exhibit 99.1) shall not be deemed “filed” for purposes of Section 18 of the Securities Exchange Act of 1934, as amended (the “Exchange Act”), or otherwise subject to the liabilities under that Section. Furthermore, such information shall not be deemed to be incorporated by reference into any filing under the Securities Act of 1933, as amended (the “Securities Act”), or the Exchange Act, except as shall be expressly set forth by specific reference in such a filing.</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7.01 – Regulation FD Disclosure.</w:t>
      </w:r>
    </w:p>
    <w:p>
      <w:pPr>
        <w:spacing w:after="0" w:line="15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2"/>
          <w:szCs w:val="12"/>
          <w:color w:val="auto"/>
        </w:rPr>
        <w:t>Presentation slides discussing AngioDynamics and its fiscal third quarter ended February 28, 2026 are furnished herewith as Exhibit 99.2.</w:t>
      </w:r>
    </w:p>
    <w:p>
      <w:pPr>
        <w:spacing w:after="0" w:line="150" w:lineRule="exact"/>
        <w:rPr>
          <w:sz w:val="20"/>
          <w:szCs w:val="20"/>
          <w:color w:val="auto"/>
        </w:rPr>
      </w:pPr>
    </w:p>
    <w:p>
      <w:pPr>
        <w:jc w:val="both"/>
        <w:ind w:firstLine="261"/>
        <w:spacing w:after="0" w:line="279" w:lineRule="auto"/>
        <w:rPr>
          <w:sz w:val="20"/>
          <w:szCs w:val="20"/>
          <w:color w:val="auto"/>
        </w:rPr>
      </w:pPr>
      <w:r>
        <w:rPr>
          <w:rFonts w:ascii="Times New Roman" w:cs="Times New Roman" w:eastAsia="Times New Roman" w:hAnsi="Times New Roman"/>
          <w:sz w:val="12"/>
          <w:szCs w:val="12"/>
          <w:color w:val="auto"/>
        </w:rPr>
        <w:t>The presentation slides furnished pursuant to Item 7.01 of this Form 8-K (including Exhibit 99.2) shall not be deemed “filed” for purposes of Section 18 of the Exchange Act, or otherwise subject to the liabilities under that Section. Furthermore, the presentation slides shall not be deemed to be incorporated by reference into any filing under the Securities Act or the Exchange Act.</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Forward-Looking Statements</w:t>
      </w:r>
    </w:p>
    <w:p>
      <w:pPr>
        <w:spacing w:after="0" w:line="154" w:lineRule="exact"/>
        <w:rPr>
          <w:sz w:val="20"/>
          <w:szCs w:val="20"/>
          <w:color w:val="auto"/>
        </w:rPr>
      </w:pPr>
    </w:p>
    <w:p>
      <w:pPr>
        <w:jc w:val="both"/>
        <w:ind w:firstLine="216"/>
        <w:spacing w:after="0" w:line="253" w:lineRule="auto"/>
        <w:rPr>
          <w:sz w:val="20"/>
          <w:szCs w:val="20"/>
          <w:color w:val="auto"/>
        </w:rPr>
      </w:pPr>
      <w:r>
        <w:rPr>
          <w:rFonts w:ascii="Times New Roman" w:cs="Times New Roman" w:eastAsia="Times New Roman" w:hAnsi="Times New Roman"/>
          <w:sz w:val="12"/>
          <w:szCs w:val="12"/>
          <w:color w:val="auto"/>
        </w:rPr>
        <w:t>This document and its attachments contain forward-looking statements within the meaning of the Private Securities Litigation Reform Act of 1995. All statements regarding AngioDynamics’ expected future financial position, results of operations, cash flows, business strategy, budgets, projected costs, capital expenditures, products, competitive positions, growth opportunities, plans and objectives of management for future operations, as well as statements that include the words such as “expects,” “reaffirms,” “intends,” “anticipates,” “plans,” “believes,” “seeks,” “estimates,” “projects”, “optimistic,” or variations of such words and similar expressions, are forward-looking statements. These forward-looking statements are not guarantees of future performance and are subject to risks and uncertainties. Investors are cautioned that actual events or results may differ materially from AngioDynamics’ expectations, expressed or implied. Factors that may affect the actual results achieved by AngioDynamics include, without limitation, the scale and scope of the COVID-19 global pandemic, the ability of AngioDynamics to develop its existing and new products, technological advances and patents attained by competitors, infringement of AngioDynamics’ technology or assertions that AngioDynamics’ technology infringes the technology of third parties, the ability of AngioDynamics to effectively compete against competitors that have substantially greater resources, future actions by the FDA or other regulatory agencies, domestic and foreign health care reforms and government regulations, results of pending or future clinical trials, overall economic conditions (including inflation, tariffs, labor shortages and supply chain challenges including the cost and availability of raw materials), the results of on-going litigation, challenges with respect to third-party distributors or joint venture partners or collaborators, the results of sales efforts, the effects of product recalls and product liability claims, changes in key personnel, the ability of AngioDynamics to execute on strategic initiatives, the effects of economic, credit and capital market conditions, general market conditions, market acceptance, foreign currency exchange rate fluctuations, the effects on pricing from group purchasing organizations and competition, the ability of AngioDynamics to obtain regulatory clearances or approval of its products, or to integrate acquired businesses, as well as the risk factors listed from time to time in AngioDynamics’ SEC filings, including but not limited to its Annual Report on Form 10-K for the year ended May 31, 2025. AngioDynamics does not assume any obligation to publicly update or revise any forward-looking statements for any reason.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161290</wp:posOffset>
            </wp:positionV>
            <wp:extent cx="7178040" cy="114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5" w:right="299" w:bottom="1440" w:gutter="0" w:footer="0" w:header="0"/>
        </w:sectPr>
      </w:pPr>
    </w:p>
    <w:bookmarkStart w:id="2" w:name="page3"/>
    <w:bookmarkEnd w:id="2"/>
    <w:p>
      <w:pPr>
        <w:ind w:left="8"/>
        <w:spacing w:after="0"/>
        <w:rPr>
          <w:sz w:val="20"/>
          <w:szCs w:val="20"/>
          <w:color w:val="auto"/>
        </w:rPr>
      </w:pPr>
      <w:r>
        <w:rPr>
          <w:rFonts w:ascii="Times New Roman" w:cs="Times New Roman" w:eastAsia="Times New Roman" w:hAnsi="Times New Roman"/>
          <w:sz w:val="12"/>
          <w:szCs w:val="12"/>
          <w:b w:val="1"/>
          <w:bCs w:val="1"/>
          <w:color w:val="auto"/>
        </w:rPr>
        <w:t>Item 9.01 – Financial Statements and Exhibits.</w:t>
      </w:r>
    </w:p>
    <w:p>
      <w:pPr>
        <w:spacing w:after="0" w:line="152" w:lineRule="exact"/>
        <w:rPr>
          <w:sz w:val="20"/>
          <w:szCs w:val="20"/>
          <w:color w:val="auto"/>
        </w:rPr>
      </w:pPr>
    </w:p>
    <w:p>
      <w:pPr>
        <w:ind w:left="428" w:hanging="428"/>
        <w:spacing w:after="0"/>
        <w:tabs>
          <w:tab w:leader="none" w:pos="428" w:val="left"/>
        </w:tabs>
        <w:numPr>
          <w:ilvl w:val="0"/>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Exhibits</w:t>
      </w:r>
      <w:r>
        <w:rPr>
          <w:rFonts w:ascii="Times New Roman" w:cs="Times New Roman" w:eastAsia="Times New Roman" w:hAnsi="Times New Roman"/>
          <w:sz w:val="12"/>
          <w:szCs w:val="12"/>
          <w:color w:val="auto"/>
        </w:rPr>
        <w:t>.</w:t>
      </w:r>
    </w:p>
    <w:p>
      <w:pPr>
        <w:spacing w:after="0" w:line="142" w:lineRule="exact"/>
        <w:rPr>
          <w:sz w:val="20"/>
          <w:szCs w:val="20"/>
          <w:color w:val="auto"/>
        </w:rPr>
      </w:pPr>
    </w:p>
    <w:tbl>
      <w:tblPr>
        <w:tblLayout w:type="fixed"/>
        <w:tblInd w:w="8" w:type="dxa"/>
        <w:tblCellMar>
          <w:top w:w="0" w:type="dxa"/>
          <w:left w:w="0" w:type="dxa"/>
          <w:bottom w:w="0" w:type="dxa"/>
          <w:right w:w="0" w:type="dxa"/>
        </w:tblCellMar>
      </w:tblPr>
      <w:tr>
        <w:trPr>
          <w:trHeight w:val="138"/>
        </w:trPr>
        <w:tc>
          <w:tcPr>
            <w:tcW w:w="5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2"/>
                <w:szCs w:val="12"/>
                <w:color w:val="auto"/>
                <w:w w:val="96"/>
              </w:rPr>
              <w:t>Exhibit No.</w:t>
            </w:r>
          </w:p>
        </w:tc>
        <w:tc>
          <w:tcPr>
            <w:tcW w:w="800" w:type="dxa"/>
            <w:vAlign w:val="bottom"/>
          </w:tcPr>
          <w:p>
            <w:pPr>
              <w:spacing w:after="0"/>
              <w:rPr>
                <w:sz w:val="12"/>
                <w:szCs w:val="12"/>
                <w:color w:val="auto"/>
              </w:rPr>
            </w:pPr>
          </w:p>
        </w:tc>
        <w:tc>
          <w:tcPr>
            <w:tcW w:w="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w w:val="96"/>
              </w:rPr>
              <w:t>Description</w:t>
            </w:r>
          </w:p>
        </w:tc>
        <w:tc>
          <w:tcPr>
            <w:tcW w:w="9380" w:type="dxa"/>
            <w:vAlign w:val="bottom"/>
          </w:tcPr>
          <w:p>
            <w:pPr>
              <w:spacing w:after="0"/>
              <w:rPr>
                <w:sz w:val="12"/>
                <w:szCs w:val="12"/>
                <w:color w:val="auto"/>
              </w:rPr>
            </w:pPr>
          </w:p>
        </w:tc>
      </w:tr>
      <w:tr>
        <w:trPr>
          <w:trHeight w:val="268"/>
        </w:trPr>
        <w:tc>
          <w:tcPr>
            <w:tcW w:w="20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2"/>
                <w:szCs w:val="12"/>
                <w:color w:val="0000EE"/>
                <w:w w:val="85"/>
              </w:rPr>
              <w:t>99.</w:t>
            </w:r>
            <w:r>
              <w:rPr>
                <w:rFonts w:ascii="Times New Roman" w:cs="Times New Roman" w:eastAsia="Times New Roman" w:hAnsi="Times New Roman"/>
                <w:sz w:val="12"/>
                <w:szCs w:val="12"/>
                <w:u w:val="single" w:color="auto"/>
                <w:color w:val="0000EE"/>
                <w:w w:val="85"/>
              </w:rPr>
              <w:t>1</w:t>
            </w:r>
          </w:p>
        </w:tc>
        <w:tc>
          <w:tcPr>
            <w:tcW w:w="3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99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Press Release, dated April 2, 2026.</w:t>
            </w:r>
          </w:p>
        </w:tc>
      </w:tr>
      <w:tr>
        <w:trPr>
          <w:trHeight w:val="268"/>
        </w:trPr>
        <w:tc>
          <w:tcPr>
            <w:tcW w:w="20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2"/>
                <w:szCs w:val="12"/>
                <w:color w:val="0000EE"/>
                <w:w w:val="85"/>
              </w:rPr>
              <w:t>99.</w:t>
            </w:r>
            <w:r>
              <w:rPr>
                <w:rFonts w:ascii="Times New Roman" w:cs="Times New Roman" w:eastAsia="Times New Roman" w:hAnsi="Times New Roman"/>
                <w:sz w:val="12"/>
                <w:szCs w:val="12"/>
                <w:u w:val="single" w:color="auto"/>
                <w:color w:val="0000EE"/>
                <w:w w:val="85"/>
              </w:rPr>
              <w:t>2</w:t>
            </w:r>
          </w:p>
        </w:tc>
        <w:tc>
          <w:tcPr>
            <w:tcW w:w="3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99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Presentation, dated April 2, 2026.</w:t>
            </w:r>
          </w:p>
        </w:tc>
      </w:tr>
      <w:tr>
        <w:trPr>
          <w:trHeight w:val="268"/>
        </w:trPr>
        <w:tc>
          <w:tcPr>
            <w:tcW w:w="200" w:type="dxa"/>
            <w:vAlign w:val="bottom"/>
            <w:tcBorders>
              <w:bottom w:val="single" w:sz="8" w:color="auto"/>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spacing w:after="0"/>
              <w:rPr>
                <w:sz w:val="23"/>
                <w:szCs w:val="23"/>
                <w:color w:val="auto"/>
              </w:rPr>
            </w:pPr>
          </w:p>
        </w:tc>
        <w:tc>
          <w:tcPr>
            <w:tcW w:w="560" w:type="dxa"/>
            <w:vAlign w:val="bottom"/>
            <w:tcBorders>
              <w:bottom w:val="single" w:sz="8" w:color="auto"/>
            </w:tcBorders>
          </w:tcPr>
          <w:p>
            <w:pPr>
              <w:spacing w:after="0"/>
              <w:rPr>
                <w:sz w:val="23"/>
                <w:szCs w:val="23"/>
                <w:color w:val="auto"/>
              </w:rPr>
            </w:pPr>
          </w:p>
        </w:tc>
        <w:tc>
          <w:tcPr>
            <w:tcW w:w="9380" w:type="dxa"/>
            <w:vAlign w:val="bottom"/>
            <w:tcBorders>
              <w:bottom w:val="single" w:sz="8" w:color="auto"/>
            </w:tcBorders>
          </w:tcPr>
          <w:p>
            <w:pPr>
              <w:spacing w:after="0"/>
              <w:rPr>
                <w:sz w:val="23"/>
                <w:szCs w:val="23"/>
                <w:color w:val="auto"/>
              </w:rPr>
            </w:pPr>
          </w:p>
        </w:tc>
      </w:tr>
    </w:tbl>
    <w:p>
      <w:pPr>
        <w:sectPr>
          <w:pgSz w:w="11900" w:h="16838" w:orient="portrait"/>
          <w:cols w:equalWidth="0" w:num="1">
            <w:col w:w="11308"/>
          </w:cols>
          <w:pgMar w:left="292" w:top="125" w:right="29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2"/>
          <w:szCs w:val="12"/>
          <w:b w:val="1"/>
          <w:bCs w:val="1"/>
          <w:color w:val="auto"/>
        </w:rPr>
        <w:t>SIGNATURE</w:t>
      </w:r>
    </w:p>
    <w:p>
      <w:pPr>
        <w:spacing w:after="0" w:line="1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Pursuant to the requirements of the Securities Exchange Act of 1934, the registrant has duly caused this report to be signed on its behalf by the undersigned hereunto duly authorized.</w:t>
      </w:r>
    </w:p>
    <w:p>
      <w:pPr>
        <w:spacing w:after="0" w:line="150"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2"/>
          <w:szCs w:val="12"/>
          <w:color w:val="auto"/>
        </w:rPr>
        <w:t>ANGIODYNAMICS, INC.</w:t>
      </w:r>
    </w:p>
    <w:p>
      <w:pPr>
        <w:spacing w:after="0" w:line="17"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2"/>
          <w:szCs w:val="12"/>
          <w:color w:val="auto"/>
        </w:rPr>
        <w:t>(Registrant)</w:t>
      </w:r>
    </w:p>
    <w:p>
      <w:pPr>
        <w:spacing w:after="0" w:line="139" w:lineRule="exact"/>
        <w:rPr>
          <w:sz w:val="20"/>
          <w:szCs w:val="20"/>
          <w:color w:val="auto"/>
        </w:rPr>
      </w:pPr>
    </w:p>
    <w:p>
      <w:pPr>
        <w:spacing w:after="0"/>
        <w:tabs>
          <w:tab w:leader="none" w:pos="5640" w:val="left"/>
          <w:tab w:leader="none" w:pos="5980" w:val="left"/>
        </w:tabs>
        <w:rPr>
          <w:sz w:val="20"/>
          <w:szCs w:val="20"/>
          <w:color w:val="auto"/>
        </w:rPr>
      </w:pPr>
      <w:r>
        <w:rPr>
          <w:rFonts w:ascii="Times New Roman" w:cs="Times New Roman" w:eastAsia="Times New Roman" w:hAnsi="Times New Roman"/>
          <w:sz w:val="12"/>
          <w:szCs w:val="12"/>
          <w:color w:val="auto"/>
        </w:rPr>
        <w:t>Date: April 2, 2026</w:t>
      </w:r>
      <w:r>
        <w:rPr>
          <w:sz w:val="20"/>
          <w:szCs w:val="20"/>
          <w:color w:val="auto"/>
        </w:rPr>
        <w:tab/>
      </w:r>
      <w:r>
        <w:rPr>
          <w:rFonts w:ascii="Times New Roman" w:cs="Times New Roman" w:eastAsia="Times New Roman" w:hAnsi="Times New Roman"/>
          <w:sz w:val="12"/>
          <w:szCs w:val="12"/>
          <w:color w:val="auto"/>
        </w:rPr>
        <w:t>By:</w:t>
      </w:r>
      <w:r>
        <w:rPr>
          <w:sz w:val="20"/>
          <w:szCs w:val="20"/>
          <w:color w:val="auto"/>
        </w:rPr>
        <w:tab/>
      </w:r>
      <w:r>
        <w:rPr>
          <w:rFonts w:ascii="Times New Roman" w:cs="Times New Roman" w:eastAsia="Times New Roman" w:hAnsi="Times New Roman"/>
          <w:sz w:val="11"/>
          <w:szCs w:val="11"/>
          <w:color w:val="auto"/>
        </w:rPr>
        <w:t>/s/ Lawrence T. Weiss</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6000" w:type="dxa"/>
            <w:vAlign w:val="bottom"/>
          </w:tcPr>
          <w:p>
            <w:pPr>
              <w:spacing w:after="0"/>
              <w:rPr>
                <w:sz w:val="12"/>
                <w:szCs w:val="12"/>
                <w:color w:val="auto"/>
              </w:rPr>
            </w:pPr>
          </w:p>
        </w:tc>
        <w:tc>
          <w:tcPr>
            <w:tcW w:w="48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2"/>
                <w:szCs w:val="12"/>
                <w:color w:val="auto"/>
              </w:rPr>
              <w:t>Name:</w:t>
            </w:r>
          </w:p>
        </w:tc>
        <w:tc>
          <w:tcPr>
            <w:tcW w:w="370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2"/>
                <w:szCs w:val="12"/>
                <w:color w:val="auto"/>
              </w:rPr>
              <w:t>Lawrence T. Weiss</w:t>
            </w:r>
          </w:p>
        </w:tc>
        <w:tc>
          <w:tcPr>
            <w:tcW w:w="1120" w:type="dxa"/>
            <w:vAlign w:val="bottom"/>
          </w:tcPr>
          <w:p>
            <w:pPr>
              <w:spacing w:after="0"/>
              <w:rPr>
                <w:sz w:val="12"/>
                <w:szCs w:val="12"/>
                <w:color w:val="auto"/>
              </w:rPr>
            </w:pPr>
          </w:p>
        </w:tc>
      </w:tr>
      <w:tr>
        <w:trPr>
          <w:trHeight w:val="155"/>
        </w:trPr>
        <w:tc>
          <w:tcPr>
            <w:tcW w:w="6000" w:type="dxa"/>
            <w:vAlign w:val="bottom"/>
          </w:tcPr>
          <w:p>
            <w:pPr>
              <w:spacing w:after="0"/>
              <w:rPr>
                <w:sz w:val="13"/>
                <w:szCs w:val="13"/>
                <w:color w:val="auto"/>
              </w:rPr>
            </w:pPr>
          </w:p>
        </w:tc>
        <w:tc>
          <w:tcPr>
            <w:tcW w:w="48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Title:</w:t>
            </w:r>
          </w:p>
        </w:tc>
        <w:tc>
          <w:tcPr>
            <w:tcW w:w="370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Senior Vice President, Chief Legal Officer and Corporate Secretary</w:t>
            </w:r>
          </w:p>
        </w:tc>
        <w:tc>
          <w:tcPr>
            <w:tcW w:w="1120" w:type="dxa"/>
            <w:vAlign w:val="bottom"/>
          </w:tcPr>
          <w:p>
            <w:pPr>
              <w:spacing w:after="0"/>
              <w:rPr>
                <w:sz w:val="13"/>
                <w:szCs w:val="13"/>
                <w:color w:val="auto"/>
              </w:rPr>
            </w:pPr>
          </w:p>
        </w:tc>
      </w:tr>
      <w:tr>
        <w:trPr>
          <w:trHeight w:val="351"/>
        </w:trPr>
        <w:tc>
          <w:tcPr>
            <w:tcW w:w="60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bl>
    <w:p>
      <w:pPr>
        <w:sectPr>
          <w:pgSz w:w="11900" w:h="16838" w:orient="portrait"/>
          <w:cols w:equalWidth="0" w:num="1">
            <w:col w:w="11300"/>
          </w:cols>
          <w:pgMar w:left="300" w:top="125" w:right="29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178040" cy="228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8040" cy="22860"/>
                    </a:xfrm>
                    <a:prstGeom prst="rect">
                      <a:avLst/>
                    </a:prstGeom>
                    <a:noFill/>
                  </pic:spPr>
                </pic:pic>
              </a:graphicData>
            </a:graphic>
          </wp:anchor>
        </w:drawing>
        <w:t>Exhibit 99.1</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AngioDynamics Reports Fiscal Year 2026 Third Quarter Financial Results; Sustained Double-Digit Med Tech Growth Drives Continued Profitability</w:t>
      </w:r>
    </w:p>
    <w:p>
      <w:pPr>
        <w:spacing w:after="0" w:line="150" w:lineRule="exact"/>
        <w:rPr>
          <w:sz w:val="20"/>
          <w:szCs w:val="20"/>
          <w:color w:val="auto"/>
        </w:rPr>
      </w:pPr>
    </w:p>
    <w:p>
      <w:pPr>
        <w:ind w:left="420" w:hanging="212"/>
        <w:spacing w:after="0"/>
        <w:tabs>
          <w:tab w:leader="none" w:pos="42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Med Tech segment delivered its sixth consecutive quarter of double-digit growth</w:t>
      </w:r>
    </w:p>
    <w:p>
      <w:pPr>
        <w:spacing w:after="0" w:line="1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Strong adjusted EBITDA</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Third consecutive quarter the Company raised full year FY 2026 guidance for net sales and Adjusted EBITDA</w:t>
      </w:r>
    </w:p>
    <w:p>
      <w:pPr>
        <w:spacing w:after="0" w:line="139" w:lineRule="exact"/>
        <w:rPr>
          <w:sz w:val="20"/>
          <w:szCs w:val="20"/>
          <w:color w:val="auto"/>
        </w:rPr>
      </w:pPr>
    </w:p>
    <w:p>
      <w:pPr>
        <w:ind w:right="220"/>
        <w:spacing w:after="0" w:line="279" w:lineRule="auto"/>
        <w:rPr>
          <w:sz w:val="20"/>
          <w:szCs w:val="20"/>
          <w:color w:val="auto"/>
        </w:rPr>
      </w:pPr>
      <w:r>
        <w:rPr>
          <w:rFonts w:ascii="Times New Roman" w:cs="Times New Roman" w:eastAsia="Times New Roman" w:hAnsi="Times New Roman"/>
          <w:sz w:val="12"/>
          <w:szCs w:val="12"/>
          <w:color w:val="auto"/>
        </w:rPr>
        <w:t>LATHAM, N.Y.--(BUSINESS WIRE)— April 2, 2026-- AngioDynamics, Inc. (NASDAQ: ANGO), a leading and transformative medical technology company focused on restoring healthy blood flow in the body’s vascular system, expanding cancer treatment options, and improving quality of life for patients, today announced financial results for the third quarter of fiscal year 2026, which ended February 28, 2026.</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37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Fiscal Year 2026 Third Quarter Highlights</w:t>
            </w:r>
          </w:p>
        </w:tc>
        <w:tc>
          <w:tcPr>
            <w:tcW w:w="3780" w:type="dxa"/>
            <w:vAlign w:val="bottom"/>
          </w:tcPr>
          <w:p>
            <w:pPr>
              <w:spacing w:after="0"/>
              <w:rPr>
                <w:sz w:val="13"/>
                <w:szCs w:val="13"/>
                <w:color w:val="auto"/>
              </w:rPr>
            </w:pPr>
          </w:p>
        </w:tc>
        <w:tc>
          <w:tcPr>
            <w:tcW w:w="3820" w:type="dxa"/>
            <w:vAlign w:val="bottom"/>
          </w:tcPr>
          <w:p>
            <w:pPr>
              <w:spacing w:after="0"/>
              <w:rPr>
                <w:sz w:val="13"/>
                <w:szCs w:val="13"/>
                <w:color w:val="auto"/>
              </w:rPr>
            </w:pPr>
          </w:p>
        </w:tc>
      </w:tr>
      <w:tr>
        <w:trPr>
          <w:trHeight w:val="273"/>
        </w:trPr>
        <w:tc>
          <w:tcPr>
            <w:tcW w:w="3700" w:type="dxa"/>
            <w:vAlign w:val="bottom"/>
          </w:tcPr>
          <w:p>
            <w:pPr>
              <w:spacing w:after="0"/>
              <w:rPr>
                <w:sz w:val="23"/>
                <w:szCs w:val="23"/>
                <w:color w:val="auto"/>
              </w:rPr>
            </w:pPr>
          </w:p>
        </w:tc>
        <w:tc>
          <w:tcPr>
            <w:tcW w:w="3780" w:type="dxa"/>
            <w:vAlign w:val="bottom"/>
          </w:tcPr>
          <w:p>
            <w:pPr>
              <w:jc w:val="center"/>
              <w:ind w:left="140"/>
              <w:spacing w:after="0"/>
              <w:rPr>
                <w:sz w:val="20"/>
                <w:szCs w:val="20"/>
                <w:color w:val="auto"/>
              </w:rPr>
            </w:pPr>
            <w:r>
              <w:rPr>
                <w:rFonts w:ascii="Times New Roman" w:cs="Times New Roman" w:eastAsia="Times New Roman" w:hAnsi="Times New Roman"/>
                <w:sz w:val="12"/>
                <w:szCs w:val="12"/>
                <w:b w:val="1"/>
                <w:bCs w:val="1"/>
                <w:color w:val="auto"/>
                <w:w w:val="99"/>
              </w:rPr>
              <w:t>Quarter Ended</w:t>
            </w:r>
          </w:p>
        </w:tc>
        <w:tc>
          <w:tcPr>
            <w:tcW w:w="3820" w:type="dxa"/>
            <w:vAlign w:val="bottom"/>
          </w:tcPr>
          <w:p>
            <w:pPr>
              <w:spacing w:after="0"/>
              <w:rPr>
                <w:sz w:val="23"/>
                <w:szCs w:val="23"/>
                <w:color w:val="auto"/>
              </w:rPr>
            </w:pPr>
          </w:p>
        </w:tc>
      </w:tr>
      <w:tr>
        <w:trPr>
          <w:trHeight w:val="159"/>
        </w:trPr>
        <w:tc>
          <w:tcPr>
            <w:tcW w:w="3700" w:type="dxa"/>
            <w:vAlign w:val="bottom"/>
            <w:tcBorders>
              <w:bottom w:val="single" w:sz="8" w:color="auto"/>
            </w:tcBorders>
          </w:tcPr>
          <w:p>
            <w:pPr>
              <w:spacing w:after="0"/>
              <w:rPr>
                <w:sz w:val="13"/>
                <w:szCs w:val="13"/>
                <w:color w:val="auto"/>
              </w:rPr>
            </w:pPr>
          </w:p>
        </w:tc>
        <w:tc>
          <w:tcPr>
            <w:tcW w:w="3780" w:type="dxa"/>
            <w:vAlign w:val="bottom"/>
            <w:tcBorders>
              <w:bottom w:val="single" w:sz="8" w:color="auto"/>
            </w:tcBorders>
          </w:tcPr>
          <w:p>
            <w:pPr>
              <w:jc w:val="center"/>
              <w:ind w:left="120"/>
              <w:spacing w:after="0"/>
              <w:rPr>
                <w:sz w:val="20"/>
                <w:szCs w:val="20"/>
                <w:color w:val="auto"/>
              </w:rPr>
            </w:pPr>
            <w:r>
              <w:rPr>
                <w:rFonts w:ascii="Times New Roman" w:cs="Times New Roman" w:eastAsia="Times New Roman" w:hAnsi="Times New Roman"/>
                <w:sz w:val="12"/>
                <w:szCs w:val="12"/>
                <w:b w:val="1"/>
                <w:bCs w:val="1"/>
                <w:i w:val="1"/>
                <w:iCs w:val="1"/>
                <w:color w:val="auto"/>
              </w:rPr>
              <w:t>February 28, 2026</w:t>
            </w:r>
          </w:p>
        </w:tc>
        <w:tc>
          <w:tcPr>
            <w:tcW w:w="3820" w:type="dxa"/>
            <w:vAlign w:val="bottom"/>
            <w:tcBorders>
              <w:bottom w:val="single" w:sz="8" w:color="auto"/>
            </w:tcBorders>
          </w:tcPr>
          <w:p>
            <w:pPr>
              <w:ind w:left="1320"/>
              <w:spacing w:after="0"/>
              <w:rPr>
                <w:sz w:val="20"/>
                <w:szCs w:val="20"/>
                <w:color w:val="auto"/>
              </w:rPr>
            </w:pPr>
            <w:r>
              <w:rPr>
                <w:rFonts w:ascii="Times New Roman" w:cs="Times New Roman" w:eastAsia="Times New Roman" w:hAnsi="Times New Roman"/>
                <w:sz w:val="12"/>
                <w:szCs w:val="12"/>
                <w:b w:val="1"/>
                <w:bCs w:val="1"/>
                <w:color w:val="auto"/>
              </w:rPr>
              <w:t>Pro Forma* YoY Growth</w:t>
            </w:r>
          </w:p>
        </w:tc>
      </w:tr>
      <w:tr>
        <w:trPr>
          <w:trHeight w:val="142"/>
        </w:trPr>
        <w:tc>
          <w:tcPr>
            <w:tcW w:w="37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Net Sales</w:t>
            </w:r>
          </w:p>
        </w:tc>
        <w:tc>
          <w:tcPr>
            <w:tcW w:w="3780" w:type="dxa"/>
            <w:vAlign w:val="bottom"/>
            <w:tcBorders>
              <w:bottom w:val="single" w:sz="8" w:color="auto"/>
            </w:tcBorders>
            <w:shd w:val="clear" w:color="auto" w:fill="CCEEFF"/>
          </w:tcPr>
          <w:p>
            <w:pPr>
              <w:jc w:val="center"/>
              <w:ind w:left="140"/>
              <w:spacing w:after="0"/>
              <w:rPr>
                <w:sz w:val="20"/>
                <w:szCs w:val="20"/>
                <w:color w:val="auto"/>
              </w:rPr>
            </w:pPr>
            <w:r>
              <w:rPr>
                <w:rFonts w:ascii="Times New Roman" w:cs="Times New Roman" w:eastAsia="Times New Roman" w:hAnsi="Times New Roman"/>
                <w:sz w:val="12"/>
                <w:szCs w:val="12"/>
                <w:b w:val="1"/>
                <w:bCs w:val="1"/>
                <w:color w:val="auto"/>
                <w:w w:val="99"/>
              </w:rPr>
              <w:t>$78.4 million</w:t>
            </w:r>
          </w:p>
        </w:tc>
        <w:tc>
          <w:tcPr>
            <w:tcW w:w="3820" w:type="dxa"/>
            <w:vAlign w:val="bottom"/>
            <w:tcBorders>
              <w:bottom w:val="single" w:sz="8" w:color="auto"/>
            </w:tcBorders>
            <w:shd w:val="clear" w:color="auto" w:fill="CCEEFF"/>
          </w:tcPr>
          <w:p>
            <w:pPr>
              <w:jc w:val="center"/>
              <w:ind w:left="60"/>
              <w:spacing w:after="0"/>
              <w:rPr>
                <w:sz w:val="20"/>
                <w:szCs w:val="20"/>
                <w:color w:val="auto"/>
              </w:rPr>
            </w:pPr>
            <w:r>
              <w:rPr>
                <w:rFonts w:ascii="Times New Roman" w:cs="Times New Roman" w:eastAsia="Times New Roman" w:hAnsi="Times New Roman"/>
                <w:sz w:val="12"/>
                <w:szCs w:val="12"/>
                <w:b w:val="1"/>
                <w:bCs w:val="1"/>
                <w:color w:val="auto"/>
                <w:w w:val="96"/>
              </w:rPr>
              <w:t>8.9%</w:t>
            </w:r>
          </w:p>
        </w:tc>
      </w:tr>
      <w:tr>
        <w:trPr>
          <w:trHeight w:val="142"/>
        </w:trPr>
        <w:tc>
          <w:tcPr>
            <w:tcW w:w="3700" w:type="dxa"/>
            <w:vAlign w:val="bottom"/>
          </w:tcPr>
          <w:p>
            <w:pPr>
              <w:ind w:left="100"/>
              <w:spacing w:after="0"/>
              <w:rPr>
                <w:sz w:val="20"/>
                <w:szCs w:val="20"/>
                <w:color w:val="auto"/>
              </w:rPr>
            </w:pPr>
            <w:r>
              <w:rPr>
                <w:rFonts w:ascii="Times New Roman" w:cs="Times New Roman" w:eastAsia="Times New Roman" w:hAnsi="Times New Roman"/>
                <w:sz w:val="12"/>
                <w:szCs w:val="12"/>
                <w:i w:val="1"/>
                <w:iCs w:val="1"/>
                <w:color w:val="auto"/>
              </w:rPr>
              <w:t>Med Tech Net Sales</w:t>
            </w:r>
          </w:p>
        </w:tc>
        <w:tc>
          <w:tcPr>
            <w:tcW w:w="3780" w:type="dxa"/>
            <w:vAlign w:val="bottom"/>
          </w:tcPr>
          <w:p>
            <w:pPr>
              <w:jc w:val="center"/>
              <w:ind w:left="120"/>
              <w:spacing w:after="0"/>
              <w:rPr>
                <w:sz w:val="20"/>
                <w:szCs w:val="20"/>
                <w:color w:val="auto"/>
              </w:rPr>
            </w:pPr>
            <w:r>
              <w:rPr>
                <w:rFonts w:ascii="Times New Roman" w:cs="Times New Roman" w:eastAsia="Times New Roman" w:hAnsi="Times New Roman"/>
                <w:sz w:val="12"/>
                <w:szCs w:val="12"/>
                <w:i w:val="1"/>
                <w:iCs w:val="1"/>
                <w:color w:val="auto"/>
                <w:w w:val="99"/>
              </w:rPr>
              <w:t>$37.3 million</w:t>
            </w:r>
          </w:p>
        </w:tc>
        <w:tc>
          <w:tcPr>
            <w:tcW w:w="3820" w:type="dxa"/>
            <w:vAlign w:val="bottom"/>
          </w:tcPr>
          <w:p>
            <w:pPr>
              <w:jc w:val="center"/>
              <w:ind w:left="60"/>
              <w:spacing w:after="0"/>
              <w:rPr>
                <w:sz w:val="20"/>
                <w:szCs w:val="20"/>
                <w:color w:val="auto"/>
              </w:rPr>
            </w:pPr>
            <w:r>
              <w:rPr>
                <w:rFonts w:ascii="Times New Roman" w:cs="Times New Roman" w:eastAsia="Times New Roman" w:hAnsi="Times New Roman"/>
                <w:sz w:val="12"/>
                <w:szCs w:val="12"/>
                <w:i w:val="1"/>
                <w:iCs w:val="1"/>
                <w:color w:val="auto"/>
                <w:w w:val="96"/>
              </w:rPr>
              <w:t>19.0%</w:t>
            </w:r>
          </w:p>
        </w:tc>
      </w:tr>
      <w:tr>
        <w:trPr>
          <w:trHeight w:val="144"/>
        </w:trPr>
        <w:tc>
          <w:tcPr>
            <w:tcW w:w="370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2"/>
                <w:szCs w:val="12"/>
                <w:i w:val="1"/>
                <w:iCs w:val="1"/>
                <w:color w:val="auto"/>
              </w:rPr>
              <w:t>Med Device Net Sales</w:t>
            </w:r>
          </w:p>
        </w:tc>
        <w:tc>
          <w:tcPr>
            <w:tcW w:w="3780" w:type="dxa"/>
            <w:vAlign w:val="bottom"/>
            <w:tcBorders>
              <w:bottom w:val="single" w:sz="8" w:color="auto"/>
            </w:tcBorders>
            <w:shd w:val="clear" w:color="auto" w:fill="CCEEFF"/>
          </w:tcPr>
          <w:p>
            <w:pPr>
              <w:jc w:val="center"/>
              <w:ind w:left="120"/>
              <w:spacing w:after="0"/>
              <w:rPr>
                <w:sz w:val="20"/>
                <w:szCs w:val="20"/>
                <w:color w:val="auto"/>
              </w:rPr>
            </w:pPr>
            <w:r>
              <w:rPr>
                <w:rFonts w:ascii="Times New Roman" w:cs="Times New Roman" w:eastAsia="Times New Roman" w:hAnsi="Times New Roman"/>
                <w:sz w:val="12"/>
                <w:szCs w:val="12"/>
                <w:i w:val="1"/>
                <w:iCs w:val="1"/>
                <w:color w:val="auto"/>
                <w:w w:val="99"/>
              </w:rPr>
              <w:t>$41.1 million</w:t>
            </w:r>
          </w:p>
        </w:tc>
        <w:tc>
          <w:tcPr>
            <w:tcW w:w="3820" w:type="dxa"/>
            <w:vAlign w:val="bottom"/>
            <w:tcBorders>
              <w:bottom w:val="single" w:sz="8" w:color="auto"/>
            </w:tcBorders>
            <w:shd w:val="clear" w:color="auto" w:fill="CCEEFF"/>
          </w:tcPr>
          <w:p>
            <w:pPr>
              <w:jc w:val="center"/>
              <w:ind w:left="60"/>
              <w:spacing w:after="0"/>
              <w:rPr>
                <w:sz w:val="20"/>
                <w:szCs w:val="20"/>
                <w:color w:val="auto"/>
              </w:rPr>
            </w:pPr>
            <w:r>
              <w:rPr>
                <w:rFonts w:ascii="Times New Roman" w:cs="Times New Roman" w:eastAsia="Times New Roman" w:hAnsi="Times New Roman"/>
                <w:sz w:val="12"/>
                <w:szCs w:val="12"/>
                <w:i w:val="1"/>
                <w:iCs w:val="1"/>
                <w:color w:val="auto"/>
              </w:rPr>
              <w:t>1.1%</w:t>
            </w:r>
          </w:p>
        </w:tc>
      </w:tr>
    </w:tbl>
    <w:p>
      <w:pPr>
        <w:spacing w:after="0" w:line="133" w:lineRule="exact"/>
        <w:rPr>
          <w:sz w:val="20"/>
          <w:szCs w:val="20"/>
          <w:color w:val="auto"/>
        </w:rPr>
      </w:pPr>
    </w:p>
    <w:p>
      <w:pPr>
        <w:ind w:left="420" w:hanging="212"/>
        <w:spacing w:after="0"/>
        <w:tabs>
          <w:tab w:leader="none" w:pos="42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GAAP gross margin of 52.9%</w:t>
      </w:r>
    </w:p>
    <w:p>
      <w:pPr>
        <w:spacing w:after="0" w:line="1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GAAP loss per share of $0.19</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Adjusted loss per share of $0.07</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Adjusted EBITDA of $1.8 million</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Ended fiscal 2026 third quarter with $37.8 million in cash, in line with expectations</w:t>
      </w:r>
    </w:p>
    <w:p>
      <w:pPr>
        <w:spacing w:after="0" w:line="137" w:lineRule="exact"/>
        <w:rPr>
          <w:sz w:val="20"/>
          <w:szCs w:val="20"/>
          <w:color w:val="auto"/>
        </w:rPr>
      </w:pPr>
    </w:p>
    <w:p>
      <w:pPr>
        <w:ind w:right="240"/>
        <w:spacing w:after="0" w:line="283" w:lineRule="auto"/>
        <w:rPr>
          <w:sz w:val="20"/>
          <w:szCs w:val="20"/>
          <w:color w:val="auto"/>
        </w:rPr>
      </w:pPr>
      <w:r>
        <w:rPr>
          <w:rFonts w:ascii="Times New Roman" w:cs="Times New Roman" w:eastAsia="Times New Roman" w:hAnsi="Times New Roman"/>
          <w:sz w:val="12"/>
          <w:szCs w:val="12"/>
          <w:i w:val="1"/>
          <w:iCs w:val="1"/>
          <w:color w:val="auto"/>
        </w:rPr>
        <w:t>*Pro forma results exclude the Dialysis and BioSentry businesses divested in June 2023 and the PICC, Midline and tip location product portfolios divested in February 2024, as well as the discontinued Radiofrequency and Syntrax support catheter products in February 2024.</w:t>
      </w:r>
    </w:p>
    <w:p>
      <w:pPr>
        <w:spacing w:after="0" w:line="109"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2"/>
          <w:szCs w:val="12"/>
          <w:color w:val="auto"/>
        </w:rPr>
        <w:t>"We delivered a strong quarter, driven by continued execution across the organization, allowing us to deliver yet another quarter of profitable growth," commented Jim Clemmer, President and Chief Executive Officer of AngioDynamics, Inc. "Our mechanical thrombectomy portfolio exhibited standout performance as commercial adoption continues to build with both AlphaVac and AngioVac, confirming our belief that we have the strongest mechanical thrombectomy portfolio available. Auryon remains a consistent growth driver, and NanoKnife is accelerating adoption as we see our commercial strategy supported by the recently effective CPT 1 code for prostate. Beyond the demonstrated topline growth in our higher margin Med Tech businesses, the disciplined execution of our operating initiatives translated into another quarter of strong positive adjusted EBITDA."</w:t>
      </w:r>
    </w:p>
    <w:p>
      <w:pPr>
        <w:spacing w:after="0" w:line="122" w:lineRule="exact"/>
        <w:rPr>
          <w:sz w:val="20"/>
          <w:szCs w:val="20"/>
          <w:color w:val="auto"/>
        </w:rPr>
      </w:pPr>
    </w:p>
    <w:p>
      <w:pPr>
        <w:ind w:right="220"/>
        <w:spacing w:after="0" w:line="279" w:lineRule="auto"/>
        <w:rPr>
          <w:sz w:val="20"/>
          <w:szCs w:val="20"/>
          <w:color w:val="auto"/>
        </w:rPr>
      </w:pPr>
      <w:r>
        <w:rPr>
          <w:rFonts w:ascii="Times New Roman" w:cs="Times New Roman" w:eastAsia="Times New Roman" w:hAnsi="Times New Roman"/>
          <w:sz w:val="12"/>
          <w:szCs w:val="12"/>
          <w:color w:val="auto"/>
        </w:rPr>
        <w:t>Mr. Clemmer continued, "Our year-to-date performance gives us confidence in our ability to continue to deliver on our strategy and vision. The progress we have made over the past several years is showing up in our results, and we remain focused on driving sustained, profitable growth as we head into the fourth quarter and fiscal 2027."</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21590</wp:posOffset>
            </wp:positionV>
            <wp:extent cx="7178040" cy="114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224" w:right="29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2"/>
          <w:szCs w:val="12"/>
          <w:b w:val="1"/>
          <w:bCs w:val="1"/>
          <w:color w:val="auto"/>
        </w:rPr>
        <w:t>Fiscal Year 2026 Third Quarter Financial Results</w:t>
      </w:r>
    </w:p>
    <w:p>
      <w:pPr>
        <w:spacing w:after="0" w:line="154" w:lineRule="exact"/>
        <w:rPr>
          <w:sz w:val="20"/>
          <w:szCs w:val="20"/>
          <w:color w:val="auto"/>
        </w:rPr>
      </w:pPr>
    </w:p>
    <w:p>
      <w:pPr>
        <w:ind w:right="200"/>
        <w:spacing w:after="0" w:line="279" w:lineRule="auto"/>
        <w:rPr>
          <w:sz w:val="20"/>
          <w:szCs w:val="20"/>
          <w:color w:val="auto"/>
        </w:rPr>
      </w:pPr>
      <w:r>
        <w:rPr>
          <w:rFonts w:ascii="Times New Roman" w:cs="Times New Roman" w:eastAsia="Times New Roman" w:hAnsi="Times New Roman"/>
          <w:sz w:val="12"/>
          <w:szCs w:val="12"/>
          <w:color w:val="auto"/>
        </w:rPr>
        <w:t>Unless otherwise noted, all financial comparisons below are presented on a pro forma basis excluding the Dialysis and BioSentry businesses divested in June 2023, the PICC, Midline, and tip location product portfolios divested in February 2024, and the RadioFrequency and Syntrax support catheter products discontinued in February 2024.</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Net sales for the third quarter of fiscal year 2026 were $78.4 million, an increase of 8.9% compared to the prior-year quarter.</w:t>
      </w:r>
    </w:p>
    <w:p>
      <w:pPr>
        <w:spacing w:after="0" w:line="150"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12"/>
          <w:szCs w:val="12"/>
          <w:color w:val="auto"/>
        </w:rPr>
        <w:t>Med Tech net sales were $37.3 million, a 19.0% increase from $31.3 million in the prior-year period. Med Tech includes the Auryon peripheral atherectomy platform, our thrombus management platform which is led by AlphaVac and AngioVac, and the NanoKnife irreversible electroporation platform.</w:t>
      </w:r>
    </w:p>
    <w:p>
      <w:pPr>
        <w:spacing w:after="0" w:line="111" w:lineRule="exact"/>
        <w:rPr>
          <w:sz w:val="20"/>
          <w:szCs w:val="20"/>
          <w:color w:val="auto"/>
        </w:rPr>
      </w:pPr>
    </w:p>
    <w:p>
      <w:pPr>
        <w:ind w:right="80"/>
        <w:spacing w:after="0" w:line="265" w:lineRule="auto"/>
        <w:rPr>
          <w:sz w:val="20"/>
          <w:szCs w:val="20"/>
          <w:color w:val="auto"/>
        </w:rPr>
      </w:pPr>
      <w:r>
        <w:rPr>
          <w:rFonts w:ascii="Times New Roman" w:cs="Times New Roman" w:eastAsia="Times New Roman" w:hAnsi="Times New Roman"/>
          <w:sz w:val="12"/>
          <w:szCs w:val="12"/>
          <w:color w:val="auto"/>
        </w:rPr>
        <w:t>Growth during the quarter was driven by solid performance across the Med Tech segment. Auryon sales were $16.3 million, an increase of 17.9% compared to the prior-year quarter, our Mechanical Thrombectomy business, which includes AngioVac and AlphaVac, delivered sales of $11.5 million, an increase of 17.9% compared to the prior-year quarter, and NanoKnife sales were $7.6 million, an increase of 21.0% compared to the prior-year quarter, including 20.0% growth in probes and 24.9% growth in capital sales.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Med Device net sales were $41.1 million, a 1.1% increase compared to $40.7 million in the prior-year period.</w:t>
      </w:r>
    </w:p>
    <w:p>
      <w:pPr>
        <w:spacing w:after="0" w:line="150" w:lineRule="exact"/>
        <w:rPr>
          <w:sz w:val="20"/>
          <w:szCs w:val="20"/>
          <w:color w:val="auto"/>
        </w:rPr>
      </w:pPr>
    </w:p>
    <w:p>
      <w:pPr>
        <w:ind w:right="260"/>
        <w:spacing w:after="0" w:line="279" w:lineRule="auto"/>
        <w:rPr>
          <w:sz w:val="20"/>
          <w:szCs w:val="20"/>
          <w:color w:val="auto"/>
        </w:rPr>
      </w:pPr>
      <w:r>
        <w:rPr>
          <w:rFonts w:ascii="Times New Roman" w:cs="Times New Roman" w:eastAsia="Times New Roman" w:hAnsi="Times New Roman"/>
          <w:sz w:val="12"/>
          <w:szCs w:val="12"/>
          <w:color w:val="auto"/>
        </w:rPr>
        <w:t xml:space="preserve">Gross margin for the third quarter of fiscal 2026 was 52.9%, which was 110 basis points lower compared to the third quarter of fiscal 2025, </w:t>
      </w:r>
      <w:r>
        <w:rPr>
          <w:rFonts w:ascii="Times New Roman" w:cs="Times New Roman" w:eastAsia="Times New Roman" w:hAnsi="Times New Roman"/>
          <w:sz w:val="12"/>
          <w:szCs w:val="12"/>
          <w:color w:val="333333"/>
        </w:rPr>
        <w:t>primarily driven by the impact and timing of tariffs, increased inflation and certain costs</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color w:val="333333"/>
        </w:rPr>
        <w:t>associated with the Company’s manufacturing transition, all of which were in-line with the Company’s expectations.</w:t>
      </w:r>
    </w:p>
    <w:p>
      <w:pPr>
        <w:spacing w:after="0" w:line="111" w:lineRule="exact"/>
        <w:rPr>
          <w:sz w:val="20"/>
          <w:szCs w:val="20"/>
          <w:color w:val="auto"/>
        </w:rPr>
      </w:pPr>
    </w:p>
    <w:p>
      <w:pPr>
        <w:ind w:right="40"/>
        <w:spacing w:after="0" w:line="279" w:lineRule="auto"/>
        <w:rPr>
          <w:sz w:val="20"/>
          <w:szCs w:val="20"/>
          <w:color w:val="auto"/>
        </w:rPr>
      </w:pPr>
      <w:r>
        <w:rPr>
          <w:rFonts w:ascii="Times New Roman" w:cs="Times New Roman" w:eastAsia="Times New Roman" w:hAnsi="Times New Roman"/>
          <w:sz w:val="12"/>
          <w:szCs w:val="12"/>
          <w:color w:val="333333"/>
        </w:rPr>
        <w:t>The Company recorded a GAAP net loss of $</w:t>
      </w:r>
      <w:r>
        <w:rPr>
          <w:rFonts w:ascii="Times New Roman" w:cs="Times New Roman" w:eastAsia="Times New Roman" w:hAnsi="Times New Roman"/>
          <w:sz w:val="12"/>
          <w:szCs w:val="12"/>
          <w:color w:val="000000"/>
        </w:rPr>
        <w:t>8.1</w:t>
      </w:r>
      <w:r>
        <w:rPr>
          <w:rFonts w:ascii="Times New Roman" w:cs="Times New Roman" w:eastAsia="Times New Roman" w:hAnsi="Times New Roman"/>
          <w:sz w:val="12"/>
          <w:szCs w:val="12"/>
          <w:color w:val="333333"/>
        </w:rPr>
        <w:t xml:space="preserve"> million, or a loss per share of $</w:t>
      </w:r>
      <w:r>
        <w:rPr>
          <w:rFonts w:ascii="Times New Roman" w:cs="Times New Roman" w:eastAsia="Times New Roman" w:hAnsi="Times New Roman"/>
          <w:sz w:val="12"/>
          <w:szCs w:val="12"/>
          <w:color w:val="000000"/>
        </w:rPr>
        <w:t>0.19</w:t>
      </w:r>
      <w:r>
        <w:rPr>
          <w:rFonts w:ascii="Times New Roman" w:cs="Times New Roman" w:eastAsia="Times New Roman" w:hAnsi="Times New Roman"/>
          <w:sz w:val="12"/>
          <w:szCs w:val="12"/>
          <w:color w:val="333333"/>
        </w:rPr>
        <w:t>, in the third quarter of fiscal 2026. Excluding the items shown in the non-GAAP reconciliation table below, adjusted net loss for the third quarter of fiscal 2026 was $</w:t>
      </w:r>
      <w:r>
        <w:rPr>
          <w:rFonts w:ascii="Times New Roman" w:cs="Times New Roman" w:eastAsia="Times New Roman" w:hAnsi="Times New Roman"/>
          <w:sz w:val="12"/>
          <w:szCs w:val="12"/>
          <w:color w:val="000000"/>
        </w:rPr>
        <w:t>3.0</w:t>
      </w:r>
      <w:r>
        <w:rPr>
          <w:rFonts w:ascii="Times New Roman" w:cs="Times New Roman" w:eastAsia="Times New Roman" w:hAnsi="Times New Roman"/>
          <w:sz w:val="12"/>
          <w:szCs w:val="12"/>
          <w:color w:val="333333"/>
        </w:rPr>
        <w:t xml:space="preserve"> million, or a loss per share of $</w:t>
      </w:r>
      <w:r>
        <w:rPr>
          <w:rFonts w:ascii="Times New Roman" w:cs="Times New Roman" w:eastAsia="Times New Roman" w:hAnsi="Times New Roman"/>
          <w:sz w:val="12"/>
          <w:szCs w:val="12"/>
          <w:color w:val="000000"/>
        </w:rPr>
        <w:t>0.07</w:t>
      </w:r>
      <w:r>
        <w:rPr>
          <w:rFonts w:ascii="Times New Roman" w:cs="Times New Roman" w:eastAsia="Times New Roman" w:hAnsi="Times New Roman"/>
          <w:sz w:val="12"/>
          <w:szCs w:val="12"/>
          <w:color w:val="333333"/>
        </w:rPr>
        <w:t>. This compares to an adjusted net loss during the fiscal third quarter of 2025 of $3.1 million, or a loss per share of $0.08.</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333333"/>
        </w:rPr>
        <w:t>Adjusted EBITDA in the third quarter of fiscal 2026, excluding the items shown in the non-GAAP reconciliation table below, was $</w:t>
      </w:r>
      <w:r>
        <w:rPr>
          <w:rFonts w:ascii="Times New Roman" w:cs="Times New Roman" w:eastAsia="Times New Roman" w:hAnsi="Times New Roman"/>
          <w:sz w:val="12"/>
          <w:szCs w:val="12"/>
          <w:color w:val="000000"/>
        </w:rPr>
        <w:t>1.8</w:t>
      </w:r>
      <w:r>
        <w:rPr>
          <w:rFonts w:ascii="Times New Roman" w:cs="Times New Roman" w:eastAsia="Times New Roman" w:hAnsi="Times New Roman"/>
          <w:sz w:val="12"/>
          <w:szCs w:val="12"/>
          <w:color w:val="333333"/>
        </w:rPr>
        <w:t xml:space="preserve"> million, compared to $1.3 million in the third quarter of fiscal 2025.</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333333"/>
        </w:rPr>
        <w:t>Tariff related expenses were $1.3 million during the quarter, compared to zero for the prior year quarter, in-line with the Company’s expectations.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333333"/>
        </w:rPr>
        <w:t>In the third quarter of fiscal 2026, the Company used $</w:t>
      </w:r>
      <w:r>
        <w:rPr>
          <w:rFonts w:ascii="Times New Roman" w:cs="Times New Roman" w:eastAsia="Times New Roman" w:hAnsi="Times New Roman"/>
          <w:sz w:val="12"/>
          <w:szCs w:val="12"/>
          <w:color w:val="000000"/>
        </w:rPr>
        <w:t>3.0</w:t>
      </w:r>
      <w:r>
        <w:rPr>
          <w:rFonts w:ascii="Times New Roman" w:cs="Times New Roman" w:eastAsia="Times New Roman" w:hAnsi="Times New Roman"/>
          <w:sz w:val="12"/>
          <w:szCs w:val="12"/>
          <w:color w:val="333333"/>
        </w:rPr>
        <w:t xml:space="preserve"> million of cash, slightly less than the Company’s expectations.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333333"/>
        </w:rPr>
        <w:t>At February 28, 2026, the Company had $37.8 million in cash and maintains a debt-free balance sheet.</w:t>
      </w:r>
    </w:p>
    <w:p>
      <w:pPr>
        <w:spacing w:after="0" w:line="26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0"/>
          <w:szCs w:val="1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21590</wp:posOffset>
            </wp:positionV>
            <wp:extent cx="7178040" cy="114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200"/>
          </w:cols>
          <w:pgMar w:left="300" w:top="125" w:right="39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59"/>
        </w:trPr>
        <w:tc>
          <w:tcPr>
            <w:tcW w:w="3040" w:type="dxa"/>
            <w:vAlign w:val="bottom"/>
          </w:tcPr>
          <w:p>
            <w:pPr>
              <w:spacing w:after="0"/>
              <w:rPr>
                <w:sz w:val="20"/>
                <w:szCs w:val="20"/>
                <w:color w:val="auto"/>
              </w:rPr>
            </w:pPr>
            <w:r>
              <w:rPr>
                <w:rFonts w:ascii="Times New Roman" w:cs="Times New Roman" w:eastAsia="Times New Roman" w:hAnsi="Times New Roman"/>
                <w:sz w:val="12"/>
                <w:szCs w:val="12"/>
                <w:b w:val="1"/>
                <w:bCs w:val="1"/>
                <w:color w:val="333333"/>
              </w:rPr>
              <w:t>Fiscal Year 2026 Financial Guidance</w:t>
            </w:r>
          </w:p>
        </w:tc>
        <w:tc>
          <w:tcPr>
            <w:tcW w:w="2560" w:type="dxa"/>
            <w:vAlign w:val="bottom"/>
          </w:tcPr>
          <w:p>
            <w:pPr>
              <w:spacing w:after="0"/>
              <w:rPr>
                <w:sz w:val="13"/>
                <w:szCs w:val="13"/>
                <w:color w:val="auto"/>
              </w:rPr>
            </w:pPr>
          </w:p>
        </w:tc>
        <w:tc>
          <w:tcPr>
            <w:tcW w:w="28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460" w:type="dxa"/>
            <w:vAlign w:val="bottom"/>
          </w:tcPr>
          <w:p>
            <w:pPr>
              <w:spacing w:after="0"/>
              <w:rPr>
                <w:sz w:val="13"/>
                <w:szCs w:val="13"/>
                <w:color w:val="auto"/>
              </w:rPr>
            </w:pPr>
          </w:p>
        </w:tc>
      </w:tr>
      <w:tr>
        <w:trPr>
          <w:trHeight w:val="288"/>
        </w:trPr>
        <w:tc>
          <w:tcPr>
            <w:tcW w:w="3040" w:type="dxa"/>
            <w:vAlign w:val="bottom"/>
          </w:tcPr>
          <w:p>
            <w:pPr>
              <w:spacing w:after="0"/>
              <w:rPr>
                <w:sz w:val="20"/>
                <w:szCs w:val="20"/>
                <w:color w:val="auto"/>
              </w:rPr>
            </w:pPr>
            <w:r>
              <w:rPr>
                <w:rFonts w:ascii="Times New Roman" w:cs="Times New Roman" w:eastAsia="Times New Roman" w:hAnsi="Times New Roman"/>
                <w:sz w:val="12"/>
                <w:szCs w:val="12"/>
                <w:color w:val="333333"/>
              </w:rPr>
              <w:t>For fiscal year 2026 the Company now expects:</w:t>
            </w:r>
          </w:p>
        </w:tc>
        <w:tc>
          <w:tcPr>
            <w:tcW w:w="256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73"/>
        </w:trPr>
        <w:tc>
          <w:tcPr>
            <w:tcW w:w="3040" w:type="dxa"/>
            <w:vAlign w:val="bottom"/>
          </w:tcPr>
          <w:p>
            <w:pPr>
              <w:spacing w:after="0"/>
              <w:rPr>
                <w:sz w:val="23"/>
                <w:szCs w:val="23"/>
                <w:color w:val="auto"/>
              </w:rPr>
            </w:pPr>
          </w:p>
        </w:tc>
        <w:tc>
          <w:tcPr>
            <w:tcW w:w="2560" w:type="dxa"/>
            <w:vAlign w:val="bottom"/>
          </w:tcPr>
          <w:p>
            <w:pPr>
              <w:spacing w:after="0"/>
              <w:rPr>
                <w:sz w:val="23"/>
                <w:szCs w:val="23"/>
                <w:color w:val="auto"/>
              </w:rPr>
            </w:pPr>
          </w:p>
        </w:tc>
        <w:tc>
          <w:tcPr>
            <w:tcW w:w="28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333333"/>
                <w:w w:val="99"/>
              </w:rPr>
              <w:t>Current Guidance</w:t>
            </w:r>
          </w:p>
        </w:tc>
        <w:tc>
          <w:tcPr>
            <w:tcW w:w="2880" w:type="dxa"/>
            <w:vAlign w:val="bottom"/>
            <w:gridSpan w:val="2"/>
          </w:tcPr>
          <w:p>
            <w:pPr>
              <w:jc w:val="center"/>
              <w:spacing w:after="0"/>
              <w:rPr>
                <w:sz w:val="20"/>
                <w:szCs w:val="20"/>
                <w:color w:val="auto"/>
              </w:rPr>
            </w:pPr>
            <w:r>
              <w:rPr>
                <w:rFonts w:ascii="Times New Roman" w:cs="Times New Roman" w:eastAsia="Times New Roman" w:hAnsi="Times New Roman"/>
                <w:sz w:val="12"/>
                <w:szCs w:val="12"/>
                <w:b w:val="1"/>
                <w:bCs w:val="1"/>
                <w:color w:val="333333"/>
                <w:w w:val="98"/>
              </w:rPr>
              <w:t>Previous Guidance</w:t>
            </w:r>
          </w:p>
        </w:tc>
      </w:tr>
      <w:tr>
        <w:trPr>
          <w:trHeight w:val="159"/>
        </w:trPr>
        <w:tc>
          <w:tcPr>
            <w:tcW w:w="3040" w:type="dxa"/>
            <w:vAlign w:val="bottom"/>
            <w:tcBorders>
              <w:bottom w:val="single" w:sz="8" w:color="auto"/>
            </w:tcBorders>
          </w:tcPr>
          <w:p>
            <w:pPr>
              <w:jc w:val="center"/>
              <w:ind w:right="200"/>
              <w:spacing w:after="0"/>
              <w:rPr>
                <w:sz w:val="20"/>
                <w:szCs w:val="20"/>
                <w:color w:val="auto"/>
              </w:rPr>
            </w:pPr>
            <w:r>
              <w:rPr>
                <w:rFonts w:ascii="Times New Roman" w:cs="Times New Roman" w:eastAsia="Times New Roman" w:hAnsi="Times New Roman"/>
                <w:sz w:val="12"/>
                <w:szCs w:val="12"/>
                <w:b w:val="1"/>
                <w:bCs w:val="1"/>
                <w:color w:val="333333"/>
                <w:w w:val="98"/>
              </w:rPr>
              <w:t>Guidance Metric</w:t>
            </w:r>
          </w:p>
        </w:tc>
        <w:tc>
          <w:tcPr>
            <w:tcW w:w="2560" w:type="dxa"/>
            <w:vAlign w:val="bottom"/>
            <w:tcBorders>
              <w:bottom w:val="single" w:sz="8" w:color="auto"/>
            </w:tcBorders>
          </w:tcPr>
          <w:p>
            <w:pPr>
              <w:jc w:val="center"/>
              <w:ind w:right="160"/>
              <w:spacing w:after="0"/>
              <w:rPr>
                <w:sz w:val="20"/>
                <w:szCs w:val="20"/>
                <w:color w:val="auto"/>
              </w:rPr>
            </w:pPr>
            <w:r>
              <w:rPr>
                <w:rFonts w:ascii="Times New Roman" w:cs="Times New Roman" w:eastAsia="Times New Roman" w:hAnsi="Times New Roman"/>
                <w:sz w:val="12"/>
                <w:szCs w:val="12"/>
                <w:b w:val="1"/>
                <w:bCs w:val="1"/>
                <w:color w:val="333333"/>
                <w:w w:val="99"/>
              </w:rPr>
              <w:t>Guidance Action</w:t>
            </w:r>
          </w:p>
        </w:tc>
        <w:tc>
          <w:tcPr>
            <w:tcW w:w="2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i w:val="1"/>
                <w:iCs w:val="1"/>
                <w:color w:val="333333"/>
              </w:rPr>
              <w:t>(as of April 2, 2026)</w:t>
            </w:r>
          </w:p>
        </w:tc>
        <w:tc>
          <w:tcPr>
            <w:tcW w:w="28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2"/>
                <w:szCs w:val="12"/>
                <w:b w:val="1"/>
                <w:bCs w:val="1"/>
                <w:i w:val="1"/>
                <w:iCs w:val="1"/>
                <w:color w:val="333333"/>
                <w:w w:val="99"/>
              </w:rPr>
              <w:t>(as of January 6, 2026)</w:t>
            </w:r>
          </w:p>
        </w:tc>
      </w:tr>
      <w:tr>
        <w:trPr>
          <w:trHeight w:val="142"/>
        </w:trPr>
        <w:tc>
          <w:tcPr>
            <w:tcW w:w="3040" w:type="dxa"/>
            <w:vAlign w:val="bottom"/>
            <w:shd w:val="clear" w:color="auto" w:fill="CCEEFF"/>
          </w:tcPr>
          <w:p>
            <w:pPr>
              <w:jc w:val="center"/>
              <w:ind w:right="200"/>
              <w:spacing w:after="0"/>
              <w:rPr>
                <w:sz w:val="20"/>
                <w:szCs w:val="20"/>
                <w:color w:val="auto"/>
              </w:rPr>
            </w:pPr>
            <w:r>
              <w:rPr>
                <w:rFonts w:ascii="Times New Roman" w:cs="Times New Roman" w:eastAsia="Times New Roman" w:hAnsi="Times New Roman"/>
                <w:sz w:val="12"/>
                <w:szCs w:val="12"/>
                <w:color w:val="333333"/>
              </w:rPr>
              <w:t>Net Sales</w:t>
            </w:r>
          </w:p>
        </w:tc>
        <w:tc>
          <w:tcPr>
            <w:tcW w:w="2560" w:type="dxa"/>
            <w:vAlign w:val="bottom"/>
            <w:shd w:val="clear" w:color="auto" w:fill="CCEEFF"/>
          </w:tcPr>
          <w:p>
            <w:pPr>
              <w:jc w:val="center"/>
              <w:ind w:right="160"/>
              <w:spacing w:after="0"/>
              <w:rPr>
                <w:sz w:val="20"/>
                <w:szCs w:val="20"/>
                <w:color w:val="auto"/>
              </w:rPr>
            </w:pPr>
            <w:r>
              <w:rPr>
                <w:rFonts w:ascii="Times New Roman" w:cs="Times New Roman" w:eastAsia="Times New Roman" w:hAnsi="Times New Roman"/>
                <w:sz w:val="12"/>
                <w:szCs w:val="12"/>
                <w:color w:val="333333"/>
                <w:w w:val="99"/>
              </w:rPr>
              <w:t>Increased</w:t>
            </w:r>
          </w:p>
        </w:tc>
        <w:tc>
          <w:tcPr>
            <w:tcW w:w="2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333333"/>
                <w:w w:val="98"/>
              </w:rPr>
              <w:t>$313.5 - $315.5 M</w:t>
            </w:r>
          </w:p>
        </w:tc>
        <w:tc>
          <w:tcPr>
            <w:tcW w:w="288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2"/>
                <w:szCs w:val="12"/>
                <w:color w:val="333333"/>
              </w:rPr>
              <w:t>$312 - $314 M</w:t>
            </w:r>
          </w:p>
        </w:tc>
      </w:tr>
      <w:tr>
        <w:trPr>
          <w:trHeight w:val="144"/>
        </w:trPr>
        <w:tc>
          <w:tcPr>
            <w:tcW w:w="3040" w:type="dxa"/>
            <w:vAlign w:val="bottom"/>
          </w:tcPr>
          <w:p>
            <w:pPr>
              <w:jc w:val="center"/>
              <w:ind w:right="220"/>
              <w:spacing w:after="0"/>
              <w:rPr>
                <w:sz w:val="20"/>
                <w:szCs w:val="20"/>
                <w:color w:val="auto"/>
              </w:rPr>
            </w:pPr>
            <w:r>
              <w:rPr>
                <w:rFonts w:ascii="Times New Roman" w:cs="Times New Roman" w:eastAsia="Times New Roman" w:hAnsi="Times New Roman"/>
                <w:sz w:val="12"/>
                <w:szCs w:val="12"/>
                <w:color w:val="333333"/>
                <w:w w:val="99"/>
              </w:rPr>
              <w:t>Med Tech Net Sales Growth</w:t>
            </w:r>
          </w:p>
        </w:tc>
        <w:tc>
          <w:tcPr>
            <w:tcW w:w="2560" w:type="dxa"/>
            <w:vAlign w:val="bottom"/>
          </w:tcPr>
          <w:p>
            <w:pPr>
              <w:jc w:val="center"/>
              <w:ind w:right="160"/>
              <w:spacing w:after="0"/>
              <w:rPr>
                <w:sz w:val="20"/>
                <w:szCs w:val="20"/>
                <w:color w:val="auto"/>
              </w:rPr>
            </w:pPr>
            <w:r>
              <w:rPr>
                <w:rFonts w:ascii="Times New Roman" w:cs="Times New Roman" w:eastAsia="Times New Roman" w:hAnsi="Times New Roman"/>
                <w:sz w:val="12"/>
                <w:szCs w:val="12"/>
                <w:color w:val="333333"/>
                <w:w w:val="99"/>
              </w:rPr>
              <w:t>Increased</w:t>
            </w:r>
          </w:p>
        </w:tc>
        <w:tc>
          <w:tcPr>
            <w:tcW w:w="2820" w:type="dxa"/>
            <w:vAlign w:val="bottom"/>
          </w:tcPr>
          <w:p>
            <w:pPr>
              <w:jc w:val="center"/>
              <w:spacing w:after="0"/>
              <w:rPr>
                <w:sz w:val="20"/>
                <w:szCs w:val="20"/>
                <w:color w:val="auto"/>
              </w:rPr>
            </w:pPr>
            <w:r>
              <w:rPr>
                <w:rFonts w:ascii="Times New Roman" w:cs="Times New Roman" w:eastAsia="Times New Roman" w:hAnsi="Times New Roman"/>
                <w:sz w:val="12"/>
                <w:szCs w:val="12"/>
                <w:color w:val="333333"/>
                <w:w w:val="99"/>
              </w:rPr>
              <w:t>15% - 17%</w:t>
            </w:r>
          </w:p>
        </w:tc>
        <w:tc>
          <w:tcPr>
            <w:tcW w:w="1420" w:type="dxa"/>
            <w:vAlign w:val="bottom"/>
          </w:tcPr>
          <w:p>
            <w:pPr>
              <w:jc w:val="right"/>
              <w:spacing w:after="0"/>
              <w:rPr>
                <w:sz w:val="20"/>
                <w:szCs w:val="20"/>
                <w:color w:val="auto"/>
              </w:rPr>
            </w:pPr>
            <w:r>
              <w:rPr>
                <w:rFonts w:ascii="Times New Roman" w:cs="Times New Roman" w:eastAsia="Times New Roman" w:hAnsi="Times New Roman"/>
                <w:sz w:val="12"/>
                <w:szCs w:val="12"/>
                <w:color w:val="333333"/>
              </w:rPr>
              <w:t>14%</w:t>
            </w:r>
          </w:p>
        </w:tc>
        <w:tc>
          <w:tcPr>
            <w:tcW w:w="1460" w:type="dxa"/>
            <w:vAlign w:val="bottom"/>
          </w:tcPr>
          <w:p>
            <w:pPr>
              <w:spacing w:after="0"/>
              <w:rPr>
                <w:sz w:val="20"/>
                <w:szCs w:val="20"/>
                <w:color w:val="auto"/>
              </w:rPr>
            </w:pPr>
            <w:r>
              <w:rPr>
                <w:rFonts w:ascii="Times New Roman" w:cs="Times New Roman" w:eastAsia="Times New Roman" w:hAnsi="Times New Roman"/>
                <w:sz w:val="12"/>
                <w:szCs w:val="12"/>
                <w:color w:val="333333"/>
              </w:rPr>
              <w:t>- 16%</w:t>
            </w:r>
          </w:p>
        </w:tc>
      </w:tr>
      <w:tr>
        <w:trPr>
          <w:trHeight w:val="144"/>
        </w:trPr>
        <w:tc>
          <w:tcPr>
            <w:tcW w:w="3040" w:type="dxa"/>
            <w:vAlign w:val="bottom"/>
            <w:shd w:val="clear" w:color="auto" w:fill="CCEEFF"/>
          </w:tcPr>
          <w:p>
            <w:pPr>
              <w:jc w:val="center"/>
              <w:ind w:right="200"/>
              <w:spacing w:after="0"/>
              <w:rPr>
                <w:sz w:val="20"/>
                <w:szCs w:val="20"/>
                <w:color w:val="auto"/>
              </w:rPr>
            </w:pPr>
            <w:r>
              <w:rPr>
                <w:rFonts w:ascii="Times New Roman" w:cs="Times New Roman" w:eastAsia="Times New Roman" w:hAnsi="Times New Roman"/>
                <w:sz w:val="12"/>
                <w:szCs w:val="12"/>
                <w:color w:val="333333"/>
                <w:w w:val="99"/>
              </w:rPr>
              <w:t>Med Device Net Sales Growth</w:t>
            </w:r>
          </w:p>
        </w:tc>
        <w:tc>
          <w:tcPr>
            <w:tcW w:w="2560" w:type="dxa"/>
            <w:vAlign w:val="bottom"/>
            <w:shd w:val="clear" w:color="auto" w:fill="CCEEFF"/>
          </w:tcPr>
          <w:p>
            <w:pPr>
              <w:jc w:val="center"/>
              <w:ind w:right="160"/>
              <w:spacing w:after="0"/>
              <w:rPr>
                <w:sz w:val="20"/>
                <w:szCs w:val="20"/>
                <w:color w:val="auto"/>
              </w:rPr>
            </w:pPr>
            <w:r>
              <w:rPr>
                <w:rFonts w:ascii="Times New Roman" w:cs="Times New Roman" w:eastAsia="Times New Roman" w:hAnsi="Times New Roman"/>
                <w:sz w:val="12"/>
                <w:szCs w:val="12"/>
                <w:color w:val="333333"/>
                <w:w w:val="99"/>
              </w:rPr>
              <w:t>Increased</w:t>
            </w:r>
          </w:p>
        </w:tc>
        <w:tc>
          <w:tcPr>
            <w:tcW w:w="2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333333"/>
              </w:rPr>
              <w:t>Approx. 1%</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333333"/>
              </w:rPr>
              <w:t>0%</w:t>
            </w:r>
          </w:p>
        </w:tc>
        <w:tc>
          <w:tcPr>
            <w:tcW w:w="14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333333"/>
              </w:rPr>
              <w:t>- 1%</w:t>
            </w:r>
          </w:p>
        </w:tc>
      </w:tr>
      <w:tr>
        <w:trPr>
          <w:trHeight w:val="144"/>
        </w:trPr>
        <w:tc>
          <w:tcPr>
            <w:tcW w:w="3040" w:type="dxa"/>
            <w:vAlign w:val="bottom"/>
          </w:tcPr>
          <w:p>
            <w:pPr>
              <w:jc w:val="center"/>
              <w:ind w:right="200"/>
              <w:spacing w:after="0"/>
              <w:rPr>
                <w:sz w:val="20"/>
                <w:szCs w:val="20"/>
                <w:color w:val="auto"/>
              </w:rPr>
            </w:pPr>
            <w:r>
              <w:rPr>
                <w:rFonts w:ascii="Times New Roman" w:cs="Times New Roman" w:eastAsia="Times New Roman" w:hAnsi="Times New Roman"/>
                <w:sz w:val="12"/>
                <w:szCs w:val="12"/>
                <w:color w:val="333333"/>
                <w:w w:val="99"/>
              </w:rPr>
              <w:t>Gross Margin</w:t>
            </w:r>
          </w:p>
        </w:tc>
        <w:tc>
          <w:tcPr>
            <w:tcW w:w="2560" w:type="dxa"/>
            <w:vAlign w:val="bottom"/>
          </w:tcPr>
          <w:p>
            <w:pPr>
              <w:jc w:val="center"/>
              <w:ind w:right="160"/>
              <w:spacing w:after="0"/>
              <w:rPr>
                <w:sz w:val="20"/>
                <w:szCs w:val="20"/>
                <w:color w:val="auto"/>
              </w:rPr>
            </w:pPr>
            <w:r>
              <w:rPr>
                <w:rFonts w:ascii="Times New Roman" w:cs="Times New Roman" w:eastAsia="Times New Roman" w:hAnsi="Times New Roman"/>
                <w:sz w:val="12"/>
                <w:szCs w:val="12"/>
                <w:color w:val="333333"/>
                <w:w w:val="98"/>
              </w:rPr>
              <w:t>Unchanged</w:t>
            </w:r>
          </w:p>
        </w:tc>
        <w:tc>
          <w:tcPr>
            <w:tcW w:w="2820" w:type="dxa"/>
            <w:vAlign w:val="bottom"/>
          </w:tcPr>
          <w:p>
            <w:pPr>
              <w:jc w:val="center"/>
              <w:spacing w:after="0"/>
              <w:rPr>
                <w:sz w:val="20"/>
                <w:szCs w:val="20"/>
                <w:color w:val="auto"/>
              </w:rPr>
            </w:pPr>
            <w:r>
              <w:rPr>
                <w:rFonts w:ascii="Times New Roman" w:cs="Times New Roman" w:eastAsia="Times New Roman" w:hAnsi="Times New Roman"/>
                <w:sz w:val="12"/>
                <w:szCs w:val="12"/>
                <w:color w:val="333333"/>
                <w:w w:val="99"/>
              </w:rPr>
              <w:t>53.5% - 55.5%</w:t>
            </w:r>
          </w:p>
        </w:tc>
        <w:tc>
          <w:tcPr>
            <w:tcW w:w="1420" w:type="dxa"/>
            <w:vAlign w:val="bottom"/>
          </w:tcPr>
          <w:p>
            <w:pPr>
              <w:jc w:val="right"/>
              <w:spacing w:after="0"/>
              <w:rPr>
                <w:sz w:val="20"/>
                <w:szCs w:val="20"/>
                <w:color w:val="auto"/>
              </w:rPr>
            </w:pPr>
            <w:r>
              <w:rPr>
                <w:rFonts w:ascii="Times New Roman" w:cs="Times New Roman" w:eastAsia="Times New Roman" w:hAnsi="Times New Roman"/>
                <w:sz w:val="12"/>
                <w:szCs w:val="12"/>
                <w:color w:val="333333"/>
              </w:rPr>
              <w:t>53.5%</w:t>
            </w:r>
          </w:p>
        </w:tc>
        <w:tc>
          <w:tcPr>
            <w:tcW w:w="1460" w:type="dxa"/>
            <w:vAlign w:val="bottom"/>
          </w:tcPr>
          <w:p>
            <w:pPr>
              <w:spacing w:after="0"/>
              <w:rPr>
                <w:sz w:val="20"/>
                <w:szCs w:val="20"/>
                <w:color w:val="auto"/>
              </w:rPr>
            </w:pPr>
            <w:r>
              <w:rPr>
                <w:rFonts w:ascii="Times New Roman" w:cs="Times New Roman" w:eastAsia="Times New Roman" w:hAnsi="Times New Roman"/>
                <w:sz w:val="12"/>
                <w:szCs w:val="12"/>
                <w:color w:val="333333"/>
              </w:rPr>
              <w:t>- 55.5%</w:t>
            </w:r>
          </w:p>
        </w:tc>
      </w:tr>
      <w:tr>
        <w:trPr>
          <w:trHeight w:val="144"/>
        </w:trPr>
        <w:tc>
          <w:tcPr>
            <w:tcW w:w="3040" w:type="dxa"/>
            <w:vAlign w:val="bottom"/>
            <w:shd w:val="clear" w:color="auto" w:fill="CCEEFF"/>
          </w:tcPr>
          <w:p>
            <w:pPr>
              <w:jc w:val="center"/>
              <w:ind w:right="200"/>
              <w:spacing w:after="0"/>
              <w:rPr>
                <w:sz w:val="20"/>
                <w:szCs w:val="20"/>
                <w:color w:val="auto"/>
              </w:rPr>
            </w:pPr>
            <w:r>
              <w:rPr>
                <w:rFonts w:ascii="Times New Roman" w:cs="Times New Roman" w:eastAsia="Times New Roman" w:hAnsi="Times New Roman"/>
                <w:sz w:val="12"/>
                <w:szCs w:val="12"/>
                <w:color w:val="333333"/>
                <w:w w:val="99"/>
              </w:rPr>
              <w:t>Adjusted EBITDA</w:t>
            </w:r>
          </w:p>
        </w:tc>
        <w:tc>
          <w:tcPr>
            <w:tcW w:w="2560" w:type="dxa"/>
            <w:vAlign w:val="bottom"/>
            <w:shd w:val="clear" w:color="auto" w:fill="CCEEFF"/>
          </w:tcPr>
          <w:p>
            <w:pPr>
              <w:jc w:val="center"/>
              <w:ind w:right="160"/>
              <w:spacing w:after="0"/>
              <w:rPr>
                <w:sz w:val="20"/>
                <w:szCs w:val="20"/>
                <w:color w:val="auto"/>
              </w:rPr>
            </w:pPr>
            <w:r>
              <w:rPr>
                <w:rFonts w:ascii="Times New Roman" w:cs="Times New Roman" w:eastAsia="Times New Roman" w:hAnsi="Times New Roman"/>
                <w:sz w:val="12"/>
                <w:szCs w:val="12"/>
                <w:color w:val="333333"/>
                <w:w w:val="99"/>
              </w:rPr>
              <w:t>Increased</w:t>
            </w:r>
          </w:p>
        </w:tc>
        <w:tc>
          <w:tcPr>
            <w:tcW w:w="2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333333"/>
                <w:w w:val="97"/>
              </w:rPr>
              <w:t>$10.0 - $12.0 M</w:t>
            </w:r>
          </w:p>
        </w:tc>
        <w:tc>
          <w:tcPr>
            <w:tcW w:w="288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2"/>
                <w:szCs w:val="12"/>
                <w:color w:val="333333"/>
              </w:rPr>
              <w:t>$8.0 - $10.0 M</w:t>
            </w:r>
          </w:p>
        </w:tc>
      </w:tr>
      <w:tr>
        <w:trPr>
          <w:trHeight w:val="144"/>
        </w:trPr>
        <w:tc>
          <w:tcPr>
            <w:tcW w:w="3040" w:type="dxa"/>
            <w:vAlign w:val="bottom"/>
            <w:tcBorders>
              <w:bottom w:val="single" w:sz="8" w:color="auto"/>
            </w:tcBorders>
          </w:tcPr>
          <w:p>
            <w:pPr>
              <w:jc w:val="center"/>
              <w:ind w:right="200"/>
              <w:spacing w:after="0"/>
              <w:rPr>
                <w:sz w:val="20"/>
                <w:szCs w:val="20"/>
                <w:color w:val="auto"/>
              </w:rPr>
            </w:pPr>
            <w:r>
              <w:rPr>
                <w:rFonts w:ascii="Times New Roman" w:cs="Times New Roman" w:eastAsia="Times New Roman" w:hAnsi="Times New Roman"/>
                <w:sz w:val="12"/>
                <w:szCs w:val="12"/>
                <w:color w:val="333333"/>
                <w:w w:val="98"/>
              </w:rPr>
              <w:t>Adjusted EPS</w:t>
            </w:r>
          </w:p>
        </w:tc>
        <w:tc>
          <w:tcPr>
            <w:tcW w:w="2560" w:type="dxa"/>
            <w:vAlign w:val="bottom"/>
            <w:tcBorders>
              <w:bottom w:val="single" w:sz="8" w:color="auto"/>
            </w:tcBorders>
          </w:tcPr>
          <w:p>
            <w:pPr>
              <w:jc w:val="center"/>
              <w:ind w:right="160"/>
              <w:spacing w:after="0"/>
              <w:rPr>
                <w:sz w:val="20"/>
                <w:szCs w:val="20"/>
                <w:color w:val="auto"/>
              </w:rPr>
            </w:pPr>
            <w:r>
              <w:rPr>
                <w:rFonts w:ascii="Times New Roman" w:cs="Times New Roman" w:eastAsia="Times New Roman" w:hAnsi="Times New Roman"/>
                <w:sz w:val="12"/>
                <w:szCs w:val="12"/>
                <w:color w:val="333333"/>
                <w:w w:val="99"/>
              </w:rPr>
              <w:t>Increased</w:t>
            </w:r>
          </w:p>
        </w:tc>
        <w:tc>
          <w:tcPr>
            <w:tcW w:w="2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333333"/>
                <w:w w:val="99"/>
              </w:rPr>
              <w:t>($0.30) – ($0.23)</w:t>
            </w:r>
          </w:p>
        </w:tc>
        <w:tc>
          <w:tcPr>
            <w:tcW w:w="28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2"/>
                <w:szCs w:val="12"/>
                <w:color w:val="333333"/>
                <w:w w:val="99"/>
              </w:rPr>
              <w:t>($0.33) – ($0.23)</w:t>
            </w:r>
          </w:p>
        </w:tc>
      </w:tr>
    </w:tbl>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333333"/>
        </w:rPr>
        <w:t>Cash Flow Guidance</w:t>
      </w:r>
    </w:p>
    <w:p>
      <w:pPr>
        <w:spacing w:after="0" w:line="154" w:lineRule="exact"/>
        <w:rPr>
          <w:sz w:val="20"/>
          <w:szCs w:val="20"/>
          <w:color w:val="auto"/>
        </w:rPr>
      </w:pPr>
    </w:p>
    <w:p>
      <w:pPr>
        <w:ind w:right="100"/>
        <w:spacing w:after="0" w:line="257" w:lineRule="auto"/>
        <w:rPr>
          <w:sz w:val="20"/>
          <w:szCs w:val="20"/>
          <w:color w:val="auto"/>
        </w:rPr>
      </w:pPr>
      <w:r>
        <w:rPr>
          <w:rFonts w:ascii="Times New Roman" w:cs="Times New Roman" w:eastAsia="Times New Roman" w:hAnsi="Times New Roman"/>
          <w:sz w:val="12"/>
          <w:szCs w:val="12"/>
          <w:color w:val="333333"/>
        </w:rPr>
        <w:t>The Company remains on course to illustrate that its business model will be cash flow positive and expects to generate substantial cash in the fourth fiscal quarter, in line with historical trends. During the third fiscal quarter, the Company was advised by its sterilization vendors of their plan to implement two upcoming temporary shutdowns to perform maintenance activities during the fourth quarter. To proactively address this and avoid any potential commercial disruptions, the Company plans to increase inventory levels for certain products during the fourth quarter. The net result will be the acceleration of the use of approximately $3.0 to $5.0 million of cash to build inventory in the back half of fiscal year 2026, which normally would have been used in future periods. This may result in cash flow for fiscal year 2026 being slightly negative. The Company noted that there is no modification to the positive cash generation pathway that it has been on or the cash generation profile of the business.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333333"/>
        </w:rPr>
        <w:t>Tariff Related Guidance Assumptions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333333"/>
        </w:rPr>
        <w:t>For the full fiscal year 2026, the Company continues to expect a $4.0 - $6.0 million impact from tariffs, which are included in the above provided guidance.</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333333"/>
        </w:rPr>
        <w:t>All assumptions made related to expected tariff impacts are based on the Company’s point of view on the current tariff situation, as of April 2, 2026. As the situation is fluid, these assumptions may change in the future.</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333333"/>
        </w:rPr>
        <w:t>Conference Call</w:t>
      </w:r>
    </w:p>
    <w:p>
      <w:pPr>
        <w:spacing w:after="0" w:line="154"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12"/>
          <w:szCs w:val="12"/>
          <w:color w:val="333333"/>
        </w:rPr>
        <w:t>The Company’s management will host a conference call at 8:00 a.m. ET the same day to discuss the results. To participate in the conference call, dial 1-877-407-0784 (domestic) or +1-201-689-8560 (international). This conference call will also be webcast and can be accessed from the “Investors” section of the AngioDynamics website at www.angiodynamics.com. The webcast replay of the call will be available at the same site approximately one hour after the end of the call.</w:t>
      </w: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21590</wp:posOffset>
            </wp:positionV>
            <wp:extent cx="7178040" cy="114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5" w:right="29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2"/>
          <w:szCs w:val="12"/>
          <w:color w:val="333333"/>
        </w:rPr>
        <w:t>A recording of the call will also be available, until Thursday, April 9, 2026 at 11:59 PM ET. To hear this recording, dial 1-844-512-2921 (domestic) or +1-412-317-6671 (international) and enter the passcode 13758776.</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333333"/>
        </w:rPr>
        <w:t>Use of Non-GAAP Measures</w:t>
      </w:r>
    </w:p>
    <w:p>
      <w:pPr>
        <w:spacing w:after="0" w:line="15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2"/>
          <w:szCs w:val="12"/>
          <w:color w:val="333333"/>
        </w:rPr>
        <w:t>Management uses non-GAAP measures to establish operational goals and believes that non-GAAP measures may assist investors in analyzing the underlying trends in AngioDynamics' business over time. Investors should consider these non-GAAP measures in addition to, not as a substitute for or as superior to, financial reporting measures prepared in accordance with GAAP. In this news release, AngioDynamics has reported pro forma results, adjusted EBITDA, adjusted net income and adjusted earnings per share. Management uses these measures in its internal analysis and review of operational performance. Management believes that these measures provide investors with useful information in comparing AngioDynamics' performance over different periods. By using these non-GAAP measures, management believes that investors get a better picture of the performance of AngioDynamics' underlying business. Management encourages investors to review AngioDynamics' financial results prepared in accordance with GAAP to understand AngioDynamics' performance taking into account all relevant factors, including those that may only occur from time to time but have a material impact on AngioDynamics' financial results. Please see the tables that follow for a reconciliation of non-GAAP measures to measures prepared in accordance with GAAP.</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333333"/>
        </w:rPr>
        <w:t>About AngioDynamics, Inc.</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333333"/>
        </w:rPr>
        <w:t>AngioDynamics is a leading and transformative medical technology company focused on restoring healthy blood flow in the body’s vascular system, expanding cancer treatment options and improving quality of life for patients.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333333"/>
        </w:rPr>
        <w:t xml:space="preserve">The Company’s innovative technologies and devices are chosen by talented physicians in fast-growing healthcare markets to treat unmet patient needs. For more information, visit </w:t>
      </w:r>
      <w:r>
        <w:rPr>
          <w:rFonts w:ascii="Times New Roman" w:cs="Times New Roman" w:eastAsia="Times New Roman" w:hAnsi="Times New Roman"/>
          <w:sz w:val="12"/>
          <w:szCs w:val="12"/>
          <w:u w:val="single" w:color="auto"/>
          <w:color w:val="000000"/>
        </w:rPr>
        <w:t>www.angiodynamics.com</w:t>
      </w:r>
      <w:r>
        <w:rPr>
          <w:rFonts w:ascii="Times New Roman" w:cs="Times New Roman" w:eastAsia="Times New Roman" w:hAnsi="Times New Roman"/>
          <w:sz w:val="12"/>
          <w:szCs w:val="12"/>
          <w:color w:val="000000"/>
        </w:rPr>
        <w:t>.</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333333"/>
        </w:rPr>
        <w:t>Safe Harbor</w:t>
      </w:r>
    </w:p>
    <w:p>
      <w:pPr>
        <w:spacing w:after="0" w:line="15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2"/>
          <w:szCs w:val="12"/>
          <w:color w:val="333333"/>
        </w:rPr>
        <w:t>This release contains forward-looking statements within the meaning of the Private Securities Litigation Reform Act of 1995. All statements regarding AngioDynamics' expected future financial position, results of operations, cash flows, business strategy, budgets, projected costs, capital expenditures, products, competitive positions, growth opportunities, plans and objectives of management for future operations, as well as statements that include the words such as "expects," "reaffirms," "intends," "anticipates," "plans," "believes," "seeks," "estimates," "projects," "optimistic," or variations of such words and similar expressions, are forward-looking statements. These forward-looking statements are not guarantees of future performance and are subject to risks and uncertainties. Investors are cautioned that actual events or results may differ materially from AngioDynamics' expectations, expressed or implied. Factors that may affect the actual results achieved by AngioDynamics include, without limitation, the scale and scope of the COVID-19 global pandemic, the ability of AngioDynamics to develop its existing and new products, technological advances and patents attained by competitors, infringement of AngioDynamics' technology or assertions that AngioDynamics' technology infringes the technology of third parties, the ability of AngioDynamics to effectively compete against competitors that have substantially greater resources, future actions by the FDA or other regulatory agencies, domestic and foreign health care reforms and government regulations, results of pending or future clinical trials, overall economic conditions (including inflation, tariffs, labor shortages and supply chain challenges including the cost and availability of raw materials), the results of on-going litigation, challenges with respect to third-party distributors or joint venture partners or collaborators, the results of sales efforts, the effects of product recalls and product liability claims, changes in key personnel, the ability of AngioDynamics to execute on strategic initiatives, the effects of economic, credit and capital market conditions, general market conditions, market acceptance, foreign currency exchange rate fluctuations, the effects on pricing from group purchasing organizations and competition, the ability of AngioDynamics to obtain regulatory clearances or approval of its products, or to integrate acquired businesses, as well as the risk factors listed from time to time in AngioDynamics' SEC filings, including but not limited to its Annual Report on Form 10-K for the year ended May 31, 2025. AngioDynamics does not assume any obligation to publicly update or revise any forward-looking statements for any reason.</w:t>
      </w: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21590</wp:posOffset>
            </wp:positionV>
            <wp:extent cx="7178040" cy="114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2"/>
          <w:szCs w:val="12"/>
          <w:color w:val="auto"/>
        </w:rPr>
        <w:t>Investors:</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Stephen Trowbridge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Executive Vice President &amp; CFO</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518-795-1408</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strowbridge@angiodynamics.com</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Media:</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Saleem Cheeks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Vice President, Communications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518-795-1174</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scheeks@angiodynamics.com</w:t>
      </w:r>
    </w:p>
    <w:p>
      <w:pPr>
        <w:spacing w:after="0" w:line="253" w:lineRule="exact"/>
        <w:rPr>
          <w:sz w:val="20"/>
          <w:szCs w:val="20"/>
          <w:color w:val="auto"/>
        </w:rPr>
      </w:pPr>
    </w:p>
    <w:p>
      <w:pPr>
        <w:jc w:val="right"/>
        <w:ind w:right="4499"/>
        <w:spacing w:after="0"/>
        <w:rPr>
          <w:sz w:val="20"/>
          <w:szCs w:val="20"/>
          <w:color w:val="auto"/>
        </w:rPr>
      </w:pPr>
      <w:r>
        <w:rPr>
          <w:rFonts w:ascii="Times New Roman" w:cs="Times New Roman" w:eastAsia="Times New Roman" w:hAnsi="Times New Roman"/>
          <w:sz w:val="10"/>
          <w:szCs w:val="1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21590</wp:posOffset>
            </wp:positionV>
            <wp:extent cx="7178040" cy="114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0159"/>
          </w:cols>
          <w:pgMar w:left="300" w:top="129" w:right="1440" w:bottom="1440" w:gutter="0" w:footer="0" w:header="0"/>
        </w:sectPr>
      </w:pPr>
    </w:p>
    <w:bookmarkStart w:id="9" w:name="page10"/>
    <w:bookmarkEnd w:id="9"/>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ANGIODYNAMICS, INC. AND SUBSIDIARIES</w:t>
      </w:r>
    </w:p>
    <w:p>
      <w:pPr>
        <w:spacing w:after="0" w:line="2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CONSOLIDATED INCOME STATEMENTS</w:t>
      </w:r>
    </w:p>
    <w:p>
      <w:pPr>
        <w:spacing w:after="0" w:line="6"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(in thousands, except per share data)</w:t>
      </w:r>
    </w:p>
    <w:p>
      <w:pPr>
        <w:spacing w:after="0" w:line="139" w:lineRule="exact"/>
        <w:rPr>
          <w:sz w:val="20"/>
          <w:szCs w:val="20"/>
          <w:color w:val="auto"/>
        </w:rPr>
      </w:pPr>
    </w:p>
    <w:tbl>
      <w:tblPr>
        <w:tblLayout w:type="fixed"/>
        <w:tblInd w:w="8" w:type="dxa"/>
        <w:tblCellMar>
          <w:top w:w="0" w:type="dxa"/>
          <w:left w:w="0" w:type="dxa"/>
          <w:bottom w:w="0" w:type="dxa"/>
          <w:right w:w="0" w:type="dxa"/>
        </w:tblCellMar>
      </w:tblPr>
      <w:tr>
        <w:trPr>
          <w:trHeight w:val="155"/>
        </w:trPr>
        <w:tc>
          <w:tcPr>
            <w:tcW w:w="32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540" w:type="dxa"/>
            <w:vAlign w:val="bottom"/>
            <w:tcBorders>
              <w:bottom w:val="single" w:sz="8" w:color="auto"/>
            </w:tcBorders>
            <w:gridSpan w:val="5"/>
          </w:tcPr>
          <w:p>
            <w:pPr>
              <w:jc w:val="right"/>
              <w:ind w:right="980"/>
              <w:spacing w:after="0"/>
              <w:rPr>
                <w:sz w:val="20"/>
                <w:szCs w:val="20"/>
                <w:color w:val="auto"/>
              </w:rPr>
            </w:pPr>
            <w:r>
              <w:rPr>
                <w:rFonts w:ascii="Times New Roman" w:cs="Times New Roman" w:eastAsia="Times New Roman" w:hAnsi="Times New Roman"/>
                <w:sz w:val="12"/>
                <w:szCs w:val="12"/>
                <w:color w:val="auto"/>
              </w:rPr>
              <w:t>Three Months Ended</w:t>
            </w:r>
          </w:p>
        </w:tc>
        <w:tc>
          <w:tcPr>
            <w:tcW w:w="1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24"/>
        </w:trPr>
        <w:tc>
          <w:tcPr>
            <w:tcW w:w="32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60" w:type="dxa"/>
            <w:vAlign w:val="bottom"/>
            <w:gridSpan w:val="2"/>
          </w:tcPr>
          <w:p>
            <w:pPr>
              <w:jc w:val="center"/>
              <w:ind w:right="360"/>
              <w:spacing w:after="0" w:line="124" w:lineRule="exact"/>
              <w:rPr>
                <w:sz w:val="20"/>
                <w:szCs w:val="20"/>
                <w:color w:val="auto"/>
              </w:rPr>
            </w:pPr>
            <w:r>
              <w:rPr>
                <w:rFonts w:ascii="Times New Roman" w:cs="Times New Roman" w:eastAsia="Times New Roman" w:hAnsi="Times New Roman"/>
                <w:sz w:val="12"/>
                <w:szCs w:val="12"/>
                <w:color w:val="auto"/>
                <w:w w:val="97"/>
              </w:rPr>
              <w:t>Pro Forma</w:t>
            </w:r>
          </w:p>
        </w:tc>
        <w:tc>
          <w:tcPr>
            <w:tcW w:w="1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20" w:type="dxa"/>
            <w:vAlign w:val="bottom"/>
            <w:gridSpan w:val="2"/>
          </w:tcPr>
          <w:p>
            <w:pPr>
              <w:jc w:val="center"/>
              <w:ind w:right="340"/>
              <w:spacing w:after="0" w:line="124" w:lineRule="exact"/>
              <w:rPr>
                <w:sz w:val="20"/>
                <w:szCs w:val="20"/>
                <w:color w:val="auto"/>
              </w:rPr>
            </w:pPr>
            <w:r>
              <w:rPr>
                <w:rFonts w:ascii="Times New Roman" w:cs="Times New Roman" w:eastAsia="Times New Roman" w:hAnsi="Times New Roman"/>
                <w:sz w:val="12"/>
                <w:szCs w:val="12"/>
                <w:color w:val="auto"/>
              </w:rPr>
              <w:t>Pro Forma</w:t>
            </w:r>
          </w:p>
        </w:tc>
        <w:tc>
          <w:tcPr>
            <w:tcW w:w="1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51"/>
        </w:trPr>
        <w:tc>
          <w:tcPr>
            <w:tcW w:w="3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gridSpan w:val="2"/>
          </w:tcPr>
          <w:p>
            <w:pPr>
              <w:jc w:val="right"/>
              <w:ind w:right="580"/>
              <w:spacing w:after="0" w:line="151" w:lineRule="exact"/>
              <w:rPr>
                <w:sz w:val="20"/>
                <w:szCs w:val="20"/>
                <w:color w:val="auto"/>
              </w:rPr>
            </w:pPr>
            <w:r>
              <w:rPr>
                <w:rFonts w:ascii="Times New Roman" w:cs="Times New Roman" w:eastAsia="Times New Roman" w:hAnsi="Times New Roman"/>
                <w:sz w:val="11"/>
                <w:szCs w:val="11"/>
                <w:color w:val="auto"/>
              </w:rPr>
              <w:t xml:space="preserve">Actual </w:t>
            </w:r>
            <w:r>
              <w:rPr>
                <w:rFonts w:ascii="Times New Roman" w:cs="Times New Roman" w:eastAsia="Times New Roman" w:hAnsi="Times New Roman"/>
                <w:sz w:val="17"/>
                <w:szCs w:val="17"/>
                <w:color w:val="auto"/>
                <w:vertAlign w:val="superscript"/>
              </w:rPr>
              <w:t>(1)</w:t>
            </w:r>
          </w:p>
        </w:tc>
        <w:tc>
          <w:tcPr>
            <w:tcW w:w="120" w:type="dxa"/>
            <w:vAlign w:val="bottom"/>
          </w:tcPr>
          <w:p>
            <w:pPr>
              <w:spacing w:after="0"/>
              <w:rPr>
                <w:sz w:val="13"/>
                <w:szCs w:val="13"/>
                <w:color w:val="auto"/>
              </w:rPr>
            </w:pPr>
          </w:p>
        </w:tc>
        <w:tc>
          <w:tcPr>
            <w:tcW w:w="1260" w:type="dxa"/>
            <w:vAlign w:val="bottom"/>
            <w:gridSpan w:val="2"/>
          </w:tcPr>
          <w:p>
            <w:pPr>
              <w:jc w:val="center"/>
              <w:ind w:right="360"/>
              <w:spacing w:after="0" w:line="151" w:lineRule="exact"/>
              <w:rPr>
                <w:sz w:val="20"/>
                <w:szCs w:val="20"/>
                <w:color w:val="auto"/>
              </w:rPr>
            </w:pPr>
            <w:r>
              <w:rPr>
                <w:rFonts w:ascii="Times New Roman" w:cs="Times New Roman" w:eastAsia="Times New Roman" w:hAnsi="Times New Roman"/>
                <w:sz w:val="11"/>
                <w:szCs w:val="11"/>
                <w:color w:val="auto"/>
              </w:rPr>
              <w:t xml:space="preserve">Adjustments </w:t>
            </w:r>
            <w:r>
              <w:rPr>
                <w:rFonts w:ascii="Times New Roman" w:cs="Times New Roman" w:eastAsia="Times New Roman" w:hAnsi="Times New Roman"/>
                <w:sz w:val="17"/>
                <w:szCs w:val="17"/>
                <w:color w:val="auto"/>
                <w:vertAlign w:val="superscript"/>
              </w:rPr>
              <w:t>(2)</w:t>
            </w:r>
          </w:p>
        </w:tc>
        <w:tc>
          <w:tcPr>
            <w:tcW w:w="140" w:type="dxa"/>
            <w:vAlign w:val="bottom"/>
          </w:tcPr>
          <w:p>
            <w:pPr>
              <w:spacing w:after="0"/>
              <w:rPr>
                <w:sz w:val="13"/>
                <w:szCs w:val="13"/>
                <w:color w:val="auto"/>
              </w:rPr>
            </w:pPr>
          </w:p>
        </w:tc>
        <w:tc>
          <w:tcPr>
            <w:tcW w:w="1200" w:type="dxa"/>
            <w:vAlign w:val="bottom"/>
            <w:gridSpan w:val="2"/>
          </w:tcPr>
          <w:p>
            <w:pPr>
              <w:jc w:val="right"/>
              <w:ind w:right="520"/>
              <w:spacing w:after="0"/>
              <w:rPr>
                <w:sz w:val="20"/>
                <w:szCs w:val="20"/>
                <w:color w:val="auto"/>
              </w:rPr>
            </w:pPr>
            <w:r>
              <w:rPr>
                <w:rFonts w:ascii="Times New Roman" w:cs="Times New Roman" w:eastAsia="Times New Roman" w:hAnsi="Times New Roman"/>
                <w:sz w:val="12"/>
                <w:szCs w:val="12"/>
                <w:color w:val="auto"/>
              </w:rPr>
              <w:t>Pro Forma</w:t>
            </w:r>
          </w:p>
        </w:tc>
        <w:tc>
          <w:tcPr>
            <w:tcW w:w="120" w:type="dxa"/>
            <w:vAlign w:val="bottom"/>
          </w:tcPr>
          <w:p>
            <w:pPr>
              <w:spacing w:after="0"/>
              <w:rPr>
                <w:sz w:val="13"/>
                <w:szCs w:val="13"/>
                <w:color w:val="auto"/>
              </w:rPr>
            </w:pPr>
          </w:p>
        </w:tc>
        <w:tc>
          <w:tcPr>
            <w:tcW w:w="1220" w:type="dxa"/>
            <w:vAlign w:val="bottom"/>
            <w:gridSpan w:val="2"/>
          </w:tcPr>
          <w:p>
            <w:pPr>
              <w:jc w:val="right"/>
              <w:ind w:right="400"/>
              <w:spacing w:after="0" w:line="151" w:lineRule="exact"/>
              <w:rPr>
                <w:sz w:val="20"/>
                <w:szCs w:val="20"/>
                <w:color w:val="auto"/>
              </w:rPr>
            </w:pPr>
            <w:r>
              <w:rPr>
                <w:rFonts w:ascii="Times New Roman" w:cs="Times New Roman" w:eastAsia="Times New Roman" w:hAnsi="Times New Roman"/>
                <w:sz w:val="11"/>
                <w:szCs w:val="11"/>
                <w:color w:val="auto"/>
              </w:rPr>
              <w:t xml:space="preserve">As Reported </w:t>
            </w:r>
            <w:r>
              <w:rPr>
                <w:rFonts w:ascii="Times New Roman" w:cs="Times New Roman" w:eastAsia="Times New Roman" w:hAnsi="Times New Roman"/>
                <w:sz w:val="17"/>
                <w:szCs w:val="17"/>
                <w:color w:val="auto"/>
                <w:vertAlign w:val="superscript"/>
              </w:rPr>
              <w:t>(1)</w:t>
            </w:r>
          </w:p>
        </w:tc>
        <w:tc>
          <w:tcPr>
            <w:tcW w:w="120" w:type="dxa"/>
            <w:vAlign w:val="bottom"/>
          </w:tcPr>
          <w:p>
            <w:pPr>
              <w:spacing w:after="0"/>
              <w:rPr>
                <w:sz w:val="13"/>
                <w:szCs w:val="13"/>
                <w:color w:val="auto"/>
              </w:rPr>
            </w:pPr>
          </w:p>
        </w:tc>
        <w:tc>
          <w:tcPr>
            <w:tcW w:w="1220" w:type="dxa"/>
            <w:vAlign w:val="bottom"/>
            <w:gridSpan w:val="2"/>
          </w:tcPr>
          <w:p>
            <w:pPr>
              <w:jc w:val="center"/>
              <w:ind w:right="320"/>
              <w:spacing w:after="0" w:line="151" w:lineRule="exact"/>
              <w:rPr>
                <w:sz w:val="20"/>
                <w:szCs w:val="20"/>
                <w:color w:val="auto"/>
              </w:rPr>
            </w:pPr>
            <w:r>
              <w:rPr>
                <w:rFonts w:ascii="Times New Roman" w:cs="Times New Roman" w:eastAsia="Times New Roman" w:hAnsi="Times New Roman"/>
                <w:sz w:val="11"/>
                <w:szCs w:val="11"/>
                <w:color w:val="auto"/>
              </w:rPr>
              <w:t xml:space="preserve">Adjustments </w:t>
            </w:r>
            <w:r>
              <w:rPr>
                <w:rFonts w:ascii="Times New Roman" w:cs="Times New Roman" w:eastAsia="Times New Roman" w:hAnsi="Times New Roman"/>
                <w:sz w:val="17"/>
                <w:szCs w:val="17"/>
                <w:color w:val="auto"/>
                <w:vertAlign w:val="superscript"/>
              </w:rPr>
              <w:t>(2)</w:t>
            </w:r>
          </w:p>
        </w:tc>
        <w:tc>
          <w:tcPr>
            <w:tcW w:w="160" w:type="dxa"/>
            <w:vAlign w:val="bottom"/>
          </w:tcPr>
          <w:p>
            <w:pPr>
              <w:spacing w:after="0"/>
              <w:rPr>
                <w:sz w:val="13"/>
                <w:szCs w:val="13"/>
                <w:color w:val="auto"/>
              </w:rPr>
            </w:pPr>
          </w:p>
        </w:tc>
        <w:tc>
          <w:tcPr>
            <w:tcW w:w="1080" w:type="dxa"/>
            <w:vAlign w:val="bottom"/>
            <w:gridSpan w:val="2"/>
          </w:tcPr>
          <w:p>
            <w:pPr>
              <w:jc w:val="right"/>
              <w:ind w:right="420"/>
              <w:spacing w:after="0"/>
              <w:rPr>
                <w:sz w:val="20"/>
                <w:szCs w:val="20"/>
                <w:color w:val="auto"/>
              </w:rPr>
            </w:pPr>
            <w:r>
              <w:rPr>
                <w:rFonts w:ascii="Times New Roman" w:cs="Times New Roman" w:eastAsia="Times New Roman" w:hAnsi="Times New Roman"/>
                <w:sz w:val="12"/>
                <w:szCs w:val="12"/>
                <w:color w:val="auto"/>
              </w:rPr>
              <w:t>Pro Forma</w:t>
            </w:r>
          </w:p>
        </w:tc>
      </w:tr>
      <w:tr>
        <w:trPr>
          <w:trHeight w:val="155"/>
        </w:trPr>
        <w:tc>
          <w:tcPr>
            <w:tcW w:w="3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gridSpan w:val="2"/>
          </w:tcPr>
          <w:p>
            <w:pPr>
              <w:jc w:val="right"/>
              <w:ind w:right="500"/>
              <w:spacing w:after="0"/>
              <w:rPr>
                <w:sz w:val="20"/>
                <w:szCs w:val="20"/>
                <w:color w:val="auto"/>
              </w:rPr>
            </w:pPr>
            <w:r>
              <w:rPr>
                <w:rFonts w:ascii="Times New Roman" w:cs="Times New Roman" w:eastAsia="Times New Roman" w:hAnsi="Times New Roman"/>
                <w:sz w:val="12"/>
                <w:szCs w:val="12"/>
                <w:color w:val="auto"/>
              </w:rPr>
              <w:t>Feb 28, 2026</w:t>
            </w:r>
          </w:p>
        </w:tc>
        <w:tc>
          <w:tcPr>
            <w:tcW w:w="120" w:type="dxa"/>
            <w:vAlign w:val="bottom"/>
          </w:tcPr>
          <w:p>
            <w:pPr>
              <w:spacing w:after="0"/>
              <w:rPr>
                <w:sz w:val="13"/>
                <w:szCs w:val="13"/>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2"/>
                <w:szCs w:val="12"/>
                <w:color w:val="auto"/>
                <w:w w:val="98"/>
              </w:rPr>
              <w:t>Feb 28, 2026</w:t>
            </w:r>
          </w:p>
        </w:tc>
        <w:tc>
          <w:tcPr>
            <w:tcW w:w="140" w:type="dxa"/>
            <w:vAlign w:val="bottom"/>
          </w:tcPr>
          <w:p>
            <w:pPr>
              <w:spacing w:after="0"/>
              <w:rPr>
                <w:sz w:val="13"/>
                <w:szCs w:val="13"/>
                <w:color w:val="auto"/>
              </w:rPr>
            </w:pPr>
          </w:p>
        </w:tc>
        <w:tc>
          <w:tcPr>
            <w:tcW w:w="1200" w:type="dxa"/>
            <w:vAlign w:val="bottom"/>
            <w:gridSpan w:val="2"/>
          </w:tcPr>
          <w:p>
            <w:pPr>
              <w:jc w:val="right"/>
              <w:ind w:right="460"/>
              <w:spacing w:after="0"/>
              <w:rPr>
                <w:sz w:val="20"/>
                <w:szCs w:val="20"/>
                <w:color w:val="auto"/>
              </w:rPr>
            </w:pPr>
            <w:r>
              <w:rPr>
                <w:rFonts w:ascii="Times New Roman" w:cs="Times New Roman" w:eastAsia="Times New Roman" w:hAnsi="Times New Roman"/>
                <w:sz w:val="12"/>
                <w:szCs w:val="12"/>
                <w:color w:val="auto"/>
              </w:rPr>
              <w:t>Feb 28, 2026</w:t>
            </w:r>
          </w:p>
        </w:tc>
        <w:tc>
          <w:tcPr>
            <w:tcW w:w="120" w:type="dxa"/>
            <w:vAlign w:val="bottom"/>
          </w:tcPr>
          <w:p>
            <w:pPr>
              <w:spacing w:after="0"/>
              <w:rPr>
                <w:sz w:val="13"/>
                <w:szCs w:val="13"/>
                <w:color w:val="auto"/>
              </w:rPr>
            </w:pPr>
          </w:p>
        </w:tc>
        <w:tc>
          <w:tcPr>
            <w:tcW w:w="1220" w:type="dxa"/>
            <w:vAlign w:val="bottom"/>
            <w:gridSpan w:val="2"/>
          </w:tcPr>
          <w:p>
            <w:pPr>
              <w:jc w:val="right"/>
              <w:ind w:right="460"/>
              <w:spacing w:after="0"/>
              <w:rPr>
                <w:sz w:val="20"/>
                <w:szCs w:val="20"/>
                <w:color w:val="auto"/>
              </w:rPr>
            </w:pPr>
            <w:r>
              <w:rPr>
                <w:rFonts w:ascii="Times New Roman" w:cs="Times New Roman" w:eastAsia="Times New Roman" w:hAnsi="Times New Roman"/>
                <w:sz w:val="12"/>
                <w:szCs w:val="12"/>
                <w:color w:val="auto"/>
              </w:rPr>
              <w:t>Feb 28, 2025</w:t>
            </w:r>
          </w:p>
        </w:tc>
        <w:tc>
          <w:tcPr>
            <w:tcW w:w="120" w:type="dxa"/>
            <w:vAlign w:val="bottom"/>
          </w:tcPr>
          <w:p>
            <w:pPr>
              <w:spacing w:after="0"/>
              <w:rPr>
                <w:sz w:val="13"/>
                <w:szCs w:val="13"/>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2"/>
                <w:szCs w:val="12"/>
                <w:color w:val="auto"/>
              </w:rPr>
              <w:t>Feb 28, 2025</w:t>
            </w:r>
          </w:p>
        </w:tc>
        <w:tc>
          <w:tcPr>
            <w:tcW w:w="160" w:type="dxa"/>
            <w:vAlign w:val="bottom"/>
          </w:tcPr>
          <w:p>
            <w:pPr>
              <w:spacing w:after="0"/>
              <w:rPr>
                <w:sz w:val="13"/>
                <w:szCs w:val="13"/>
                <w:color w:val="auto"/>
              </w:rPr>
            </w:pPr>
          </w:p>
        </w:tc>
        <w:tc>
          <w:tcPr>
            <w:tcW w:w="1080" w:type="dxa"/>
            <w:vAlign w:val="bottom"/>
            <w:gridSpan w:val="2"/>
          </w:tcPr>
          <w:p>
            <w:pPr>
              <w:jc w:val="right"/>
              <w:ind w:right="360"/>
              <w:spacing w:after="0"/>
              <w:rPr>
                <w:sz w:val="20"/>
                <w:szCs w:val="20"/>
                <w:color w:val="auto"/>
              </w:rPr>
            </w:pPr>
            <w:r>
              <w:rPr>
                <w:rFonts w:ascii="Times New Roman" w:cs="Times New Roman" w:eastAsia="Times New Roman" w:hAnsi="Times New Roman"/>
                <w:sz w:val="12"/>
                <w:szCs w:val="12"/>
                <w:color w:val="auto"/>
              </w:rPr>
              <w:t>Feb 28, 2025</w:t>
            </w:r>
          </w:p>
        </w:tc>
      </w:tr>
      <w:tr>
        <w:trPr>
          <w:trHeight w:val="142"/>
        </w:trPr>
        <w:tc>
          <w:tcPr>
            <w:tcW w:w="32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jc w:val="center"/>
              <w:ind w:right="80"/>
              <w:spacing w:after="0"/>
              <w:rPr>
                <w:sz w:val="20"/>
                <w:szCs w:val="20"/>
                <w:color w:val="auto"/>
              </w:rPr>
            </w:pPr>
            <w:r>
              <w:rPr>
                <w:rFonts w:ascii="Times New Roman" w:cs="Times New Roman" w:eastAsia="Times New Roman" w:hAnsi="Times New Roman"/>
                <w:sz w:val="12"/>
                <w:szCs w:val="12"/>
                <w:color w:val="auto"/>
              </w:rPr>
              <w:t>(unaudited)</w:t>
            </w:r>
          </w:p>
        </w:tc>
        <w:tc>
          <w:tcPr>
            <w:tcW w:w="2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jc w:val="center"/>
              <w:ind w:right="60"/>
              <w:spacing w:after="0"/>
              <w:rPr>
                <w:sz w:val="20"/>
                <w:szCs w:val="20"/>
                <w:color w:val="auto"/>
              </w:rPr>
            </w:pPr>
            <w:r>
              <w:rPr>
                <w:rFonts w:ascii="Times New Roman" w:cs="Times New Roman" w:eastAsia="Times New Roman" w:hAnsi="Times New Roman"/>
                <w:sz w:val="12"/>
                <w:szCs w:val="12"/>
                <w:color w:val="auto"/>
              </w:rPr>
              <w:t>(unaudited)</w:t>
            </w: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Net sales</w:t>
            </w:r>
          </w:p>
        </w:tc>
        <w:tc>
          <w:tcPr>
            <w:tcW w:w="16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78,423</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(2)</w:t>
            </w:r>
          </w:p>
        </w:tc>
        <w:tc>
          <w:tcPr>
            <w:tcW w:w="14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78,421</w:t>
            </w:r>
          </w:p>
        </w:tc>
        <w:tc>
          <w:tcPr>
            <w:tcW w:w="12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72,004</w:t>
            </w:r>
          </w:p>
        </w:tc>
        <w:tc>
          <w:tcPr>
            <w:tcW w:w="12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9</w:t>
            </w:r>
          </w:p>
        </w:tc>
        <w:tc>
          <w:tcPr>
            <w:tcW w:w="16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72,013</w:t>
            </w:r>
          </w:p>
        </w:tc>
      </w:tr>
      <w:tr>
        <w:trPr>
          <w:trHeight w:val="144"/>
        </w:trPr>
        <w:tc>
          <w:tcPr>
            <w:tcW w:w="3280" w:type="dxa"/>
            <w:vAlign w:val="bottom"/>
          </w:tcPr>
          <w:p>
            <w:pPr>
              <w:spacing w:after="0"/>
              <w:rPr>
                <w:sz w:val="20"/>
                <w:szCs w:val="20"/>
                <w:color w:val="auto"/>
              </w:rPr>
            </w:pPr>
            <w:r>
              <w:rPr>
                <w:rFonts w:ascii="Times New Roman" w:cs="Times New Roman" w:eastAsia="Times New Roman" w:hAnsi="Times New Roman"/>
                <w:sz w:val="12"/>
                <w:szCs w:val="12"/>
                <w:color w:val="auto"/>
              </w:rPr>
              <w:t>Cost of sales (exclusive of intangible amortization)</w:t>
            </w:r>
          </w:p>
        </w:tc>
        <w:tc>
          <w:tcPr>
            <w:tcW w:w="16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36,944</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36,944</w:t>
            </w:r>
          </w:p>
        </w:tc>
        <w:tc>
          <w:tcPr>
            <w:tcW w:w="120" w:type="dxa"/>
            <w:vAlign w:val="bottom"/>
          </w:tcPr>
          <w:p>
            <w:pPr>
              <w:spacing w:after="0"/>
              <w:rPr>
                <w:sz w:val="12"/>
                <w:szCs w:val="12"/>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33,147</w:t>
            </w:r>
          </w:p>
        </w:tc>
        <w:tc>
          <w:tcPr>
            <w:tcW w:w="120" w:type="dxa"/>
            <w:vAlign w:val="bottom"/>
          </w:tcPr>
          <w:p>
            <w:pPr>
              <w:spacing w:after="0"/>
              <w:rPr>
                <w:sz w:val="12"/>
                <w:szCs w:val="12"/>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6</w:t>
            </w:r>
          </w:p>
        </w:tc>
        <w:tc>
          <w:tcPr>
            <w:tcW w:w="160" w:type="dxa"/>
            <w:vAlign w:val="bottom"/>
          </w:tcPr>
          <w:p>
            <w:pPr>
              <w:spacing w:after="0"/>
              <w:rPr>
                <w:sz w:val="12"/>
                <w:szCs w:val="12"/>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33,153</w:t>
            </w:r>
          </w:p>
        </w:tc>
      </w:tr>
      <w:tr>
        <w:trPr>
          <w:trHeight w:val="20"/>
        </w:trPr>
        <w:tc>
          <w:tcPr>
            <w:tcW w:w="3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42"/>
        </w:trPr>
        <w:tc>
          <w:tcPr>
            <w:tcW w:w="32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Gross margin</w:t>
            </w:r>
          </w:p>
        </w:tc>
        <w:tc>
          <w:tcPr>
            <w:tcW w:w="160" w:type="dxa"/>
            <w:vAlign w:val="bottom"/>
            <w:shd w:val="clear" w:color="auto" w:fill="CCEEFF"/>
          </w:tcPr>
          <w:p>
            <w:pPr>
              <w:spacing w:after="0"/>
              <w:rPr>
                <w:sz w:val="12"/>
                <w:szCs w:val="12"/>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41,479</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(2)</w:t>
            </w: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41,477</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38,857</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38,860</w:t>
            </w:r>
          </w:p>
        </w:tc>
        <w:tc>
          <w:tcPr>
            <w:tcW w:w="120" w:type="dxa"/>
            <w:vAlign w:val="bottom"/>
            <w:shd w:val="clear" w:color="auto" w:fill="CCEEFF"/>
          </w:tcPr>
          <w:p>
            <w:pPr>
              <w:spacing w:after="0"/>
              <w:rPr>
                <w:sz w:val="12"/>
                <w:szCs w:val="12"/>
                <w:color w:val="auto"/>
              </w:rPr>
            </w:pPr>
          </w:p>
        </w:tc>
      </w:tr>
      <w:tr>
        <w:trPr>
          <w:trHeight w:val="20"/>
        </w:trPr>
        <w:tc>
          <w:tcPr>
            <w:tcW w:w="32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42"/>
        </w:trPr>
        <w:tc>
          <w:tcPr>
            <w:tcW w:w="328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 of net sales</w:t>
            </w:r>
          </w:p>
        </w:tc>
        <w:tc>
          <w:tcPr>
            <w:tcW w:w="160" w:type="dxa"/>
            <w:vAlign w:val="bottom"/>
          </w:tcPr>
          <w:p>
            <w:pPr>
              <w:spacing w:after="0"/>
              <w:rPr>
                <w:sz w:val="12"/>
                <w:szCs w:val="12"/>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52.9%</w:t>
            </w: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52.9%</w:t>
            </w:r>
          </w:p>
        </w:tc>
        <w:tc>
          <w:tcPr>
            <w:tcW w:w="120" w:type="dxa"/>
            <w:vAlign w:val="bottom"/>
          </w:tcPr>
          <w:p>
            <w:pPr>
              <w:spacing w:after="0"/>
              <w:rPr>
                <w:sz w:val="12"/>
                <w:szCs w:val="12"/>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54.0%</w:t>
            </w: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54.0%</w:t>
            </w:r>
          </w:p>
        </w:tc>
      </w:tr>
      <w:tr>
        <w:trPr>
          <w:trHeight w:val="144"/>
        </w:trPr>
        <w:tc>
          <w:tcPr>
            <w:tcW w:w="3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0" w:type="dxa"/>
            <w:vAlign w:val="bottom"/>
            <w:tcBorders>
              <w:right w:val="single" w:sz="8" w:color="CCEEFF"/>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4"/>
        </w:trPr>
        <w:tc>
          <w:tcPr>
            <w:tcW w:w="3280" w:type="dxa"/>
            <w:vAlign w:val="bottom"/>
          </w:tcPr>
          <w:p>
            <w:pPr>
              <w:spacing w:after="0"/>
              <w:rPr>
                <w:sz w:val="20"/>
                <w:szCs w:val="20"/>
                <w:color w:val="auto"/>
              </w:rPr>
            </w:pPr>
            <w:r>
              <w:rPr>
                <w:rFonts w:ascii="Times New Roman" w:cs="Times New Roman" w:eastAsia="Times New Roman" w:hAnsi="Times New Roman"/>
                <w:sz w:val="12"/>
                <w:szCs w:val="12"/>
                <w:color w:val="auto"/>
              </w:rPr>
              <w:t>Operating expenses</w:t>
            </w: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32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Research and development</w:t>
            </w:r>
          </w:p>
        </w:tc>
        <w:tc>
          <w:tcPr>
            <w:tcW w:w="160" w:type="dxa"/>
            <w:vAlign w:val="bottom"/>
            <w:shd w:val="clear" w:color="auto" w:fill="CCEEFF"/>
          </w:tcPr>
          <w:p>
            <w:pPr>
              <w:spacing w:after="0"/>
              <w:rPr>
                <w:sz w:val="12"/>
                <w:szCs w:val="12"/>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7,084</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7,084</w:t>
            </w:r>
          </w:p>
        </w:tc>
        <w:tc>
          <w:tcPr>
            <w:tcW w:w="12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6,913</w:t>
            </w:r>
          </w:p>
        </w:tc>
        <w:tc>
          <w:tcPr>
            <w:tcW w:w="12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6,913</w:t>
            </w:r>
          </w:p>
        </w:tc>
      </w:tr>
      <w:tr>
        <w:trPr>
          <w:trHeight w:val="144"/>
        </w:trPr>
        <w:tc>
          <w:tcPr>
            <w:tcW w:w="328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Sales and marketing</w:t>
            </w:r>
          </w:p>
        </w:tc>
        <w:tc>
          <w:tcPr>
            <w:tcW w:w="16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27,437</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2"/>
                <w:szCs w:val="12"/>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27,437</w:t>
            </w:r>
          </w:p>
        </w:tc>
        <w:tc>
          <w:tcPr>
            <w:tcW w:w="120" w:type="dxa"/>
            <w:vAlign w:val="bottom"/>
          </w:tcPr>
          <w:p>
            <w:pPr>
              <w:spacing w:after="0"/>
              <w:rPr>
                <w:sz w:val="12"/>
                <w:szCs w:val="12"/>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25,504</w:t>
            </w:r>
          </w:p>
        </w:tc>
        <w:tc>
          <w:tcPr>
            <w:tcW w:w="120" w:type="dxa"/>
            <w:vAlign w:val="bottom"/>
          </w:tcPr>
          <w:p>
            <w:pPr>
              <w:spacing w:after="0"/>
              <w:rPr>
                <w:sz w:val="12"/>
                <w:szCs w:val="12"/>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2"/>
                <w:szCs w:val="12"/>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25,504</w:t>
            </w:r>
          </w:p>
        </w:tc>
      </w:tr>
      <w:tr>
        <w:trPr>
          <w:trHeight w:val="144"/>
        </w:trPr>
        <w:tc>
          <w:tcPr>
            <w:tcW w:w="32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General and administrative</w:t>
            </w:r>
          </w:p>
        </w:tc>
        <w:tc>
          <w:tcPr>
            <w:tcW w:w="160" w:type="dxa"/>
            <w:vAlign w:val="bottom"/>
            <w:shd w:val="clear" w:color="auto" w:fill="CCEEFF"/>
          </w:tcPr>
          <w:p>
            <w:pPr>
              <w:spacing w:after="0"/>
              <w:rPr>
                <w:sz w:val="12"/>
                <w:szCs w:val="12"/>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10,719</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10,719</w:t>
            </w:r>
          </w:p>
        </w:tc>
        <w:tc>
          <w:tcPr>
            <w:tcW w:w="12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10,490</w:t>
            </w:r>
          </w:p>
        </w:tc>
        <w:tc>
          <w:tcPr>
            <w:tcW w:w="12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10,490</w:t>
            </w:r>
          </w:p>
        </w:tc>
      </w:tr>
      <w:tr>
        <w:trPr>
          <w:trHeight w:val="144"/>
        </w:trPr>
        <w:tc>
          <w:tcPr>
            <w:tcW w:w="328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Amortization of intangibles</w:t>
            </w:r>
          </w:p>
        </w:tc>
        <w:tc>
          <w:tcPr>
            <w:tcW w:w="16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2,668</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2"/>
                <w:szCs w:val="12"/>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2,668</w:t>
            </w:r>
          </w:p>
        </w:tc>
        <w:tc>
          <w:tcPr>
            <w:tcW w:w="120" w:type="dxa"/>
            <w:vAlign w:val="bottom"/>
          </w:tcPr>
          <w:p>
            <w:pPr>
              <w:spacing w:after="0"/>
              <w:rPr>
                <w:sz w:val="12"/>
                <w:szCs w:val="12"/>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2,598</w:t>
            </w:r>
          </w:p>
        </w:tc>
        <w:tc>
          <w:tcPr>
            <w:tcW w:w="120" w:type="dxa"/>
            <w:vAlign w:val="bottom"/>
          </w:tcPr>
          <w:p>
            <w:pPr>
              <w:spacing w:after="0"/>
              <w:rPr>
                <w:sz w:val="12"/>
                <w:szCs w:val="12"/>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2"/>
                <w:szCs w:val="12"/>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2,598</w:t>
            </w:r>
          </w:p>
        </w:tc>
      </w:tr>
      <w:tr>
        <w:trPr>
          <w:trHeight w:val="144"/>
        </w:trPr>
        <w:tc>
          <w:tcPr>
            <w:tcW w:w="32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Change in fair value of contingent consideration</w:t>
            </w:r>
          </w:p>
        </w:tc>
        <w:tc>
          <w:tcPr>
            <w:tcW w:w="16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40</w:t>
            </w:r>
          </w:p>
        </w:tc>
        <w:tc>
          <w:tcPr>
            <w:tcW w:w="12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40</w:t>
            </w:r>
          </w:p>
        </w:tc>
      </w:tr>
      <w:tr>
        <w:trPr>
          <w:trHeight w:val="144"/>
        </w:trPr>
        <w:tc>
          <w:tcPr>
            <w:tcW w:w="328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Acquisition, restructuring and other items, net</w:t>
            </w:r>
          </w:p>
        </w:tc>
        <w:tc>
          <w:tcPr>
            <w:tcW w:w="16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6,522</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6,522</w:t>
            </w:r>
          </w:p>
        </w:tc>
        <w:tc>
          <w:tcPr>
            <w:tcW w:w="120" w:type="dxa"/>
            <w:vAlign w:val="bottom"/>
          </w:tcPr>
          <w:p>
            <w:pPr>
              <w:spacing w:after="0"/>
              <w:rPr>
                <w:sz w:val="12"/>
                <w:szCs w:val="12"/>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3,286</w:t>
            </w:r>
          </w:p>
        </w:tc>
        <w:tc>
          <w:tcPr>
            <w:tcW w:w="120" w:type="dxa"/>
            <w:vAlign w:val="bottom"/>
          </w:tcPr>
          <w:p>
            <w:pPr>
              <w:spacing w:after="0"/>
              <w:rPr>
                <w:sz w:val="12"/>
                <w:szCs w:val="12"/>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(3)</w:t>
            </w:r>
          </w:p>
        </w:tc>
        <w:tc>
          <w:tcPr>
            <w:tcW w:w="160" w:type="dxa"/>
            <w:vAlign w:val="bottom"/>
          </w:tcPr>
          <w:p>
            <w:pPr>
              <w:spacing w:after="0"/>
              <w:rPr>
                <w:sz w:val="12"/>
                <w:szCs w:val="12"/>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3,283</w:t>
            </w:r>
          </w:p>
        </w:tc>
      </w:tr>
      <w:tr>
        <w:trPr>
          <w:trHeight w:val="20"/>
        </w:trPr>
        <w:tc>
          <w:tcPr>
            <w:tcW w:w="3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42"/>
        </w:trPr>
        <w:tc>
          <w:tcPr>
            <w:tcW w:w="32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2"/>
                <w:szCs w:val="12"/>
                <w:color w:val="auto"/>
              </w:rPr>
              <w:t>Total operating expenses</w:t>
            </w:r>
          </w:p>
        </w:tc>
        <w:tc>
          <w:tcPr>
            <w:tcW w:w="160" w:type="dxa"/>
            <w:vAlign w:val="bottom"/>
            <w:shd w:val="clear" w:color="auto" w:fill="CCEEFF"/>
          </w:tcPr>
          <w:p>
            <w:pPr>
              <w:spacing w:after="0"/>
              <w:rPr>
                <w:sz w:val="12"/>
                <w:szCs w:val="12"/>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54,430</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54,430</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48,831</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(3)</w:t>
            </w:r>
          </w:p>
        </w:tc>
        <w:tc>
          <w:tcPr>
            <w:tcW w:w="16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48,828</w:t>
            </w:r>
          </w:p>
        </w:tc>
        <w:tc>
          <w:tcPr>
            <w:tcW w:w="120" w:type="dxa"/>
            <w:vAlign w:val="bottom"/>
            <w:shd w:val="clear" w:color="auto" w:fill="CCEEFF"/>
          </w:tcPr>
          <w:p>
            <w:pPr>
              <w:spacing w:after="0"/>
              <w:rPr>
                <w:sz w:val="12"/>
                <w:szCs w:val="12"/>
                <w:color w:val="auto"/>
              </w:rPr>
            </w:pPr>
          </w:p>
        </w:tc>
      </w:tr>
      <w:tr>
        <w:trPr>
          <w:trHeight w:val="20"/>
        </w:trPr>
        <w:tc>
          <w:tcPr>
            <w:tcW w:w="32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42"/>
        </w:trPr>
        <w:tc>
          <w:tcPr>
            <w:tcW w:w="328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Operating loss</w:t>
            </w:r>
          </w:p>
        </w:tc>
        <w:tc>
          <w:tcPr>
            <w:tcW w:w="160" w:type="dxa"/>
            <w:vAlign w:val="bottom"/>
          </w:tcPr>
          <w:p>
            <w:pPr>
              <w:spacing w:after="0"/>
              <w:rPr>
                <w:sz w:val="12"/>
                <w:szCs w:val="12"/>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(12,951)</w:t>
            </w:r>
          </w:p>
        </w:tc>
        <w:tc>
          <w:tcPr>
            <w:tcW w:w="120" w:type="dxa"/>
            <w:vAlign w:val="bottom"/>
          </w:tcPr>
          <w:p>
            <w:pPr>
              <w:spacing w:after="0"/>
              <w:rPr>
                <w:sz w:val="12"/>
                <w:szCs w:val="12"/>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(2)</w:t>
            </w:r>
          </w:p>
        </w:tc>
        <w:tc>
          <w:tcPr>
            <w:tcW w:w="140" w:type="dxa"/>
            <w:vAlign w:val="bottom"/>
          </w:tcPr>
          <w:p>
            <w:pPr>
              <w:spacing w:after="0"/>
              <w:rPr>
                <w:sz w:val="12"/>
                <w:szCs w:val="12"/>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(12,953)</w:t>
            </w:r>
          </w:p>
        </w:tc>
        <w:tc>
          <w:tcPr>
            <w:tcW w:w="120" w:type="dxa"/>
            <w:vAlign w:val="bottom"/>
          </w:tcPr>
          <w:p>
            <w:pPr>
              <w:spacing w:after="0"/>
              <w:rPr>
                <w:sz w:val="12"/>
                <w:szCs w:val="12"/>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(9,974)</w:t>
            </w:r>
          </w:p>
        </w:tc>
        <w:tc>
          <w:tcPr>
            <w:tcW w:w="120" w:type="dxa"/>
            <w:vAlign w:val="bottom"/>
          </w:tcPr>
          <w:p>
            <w:pPr>
              <w:spacing w:after="0"/>
              <w:rPr>
                <w:sz w:val="12"/>
                <w:szCs w:val="12"/>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6</w:t>
            </w:r>
          </w:p>
        </w:tc>
        <w:tc>
          <w:tcPr>
            <w:tcW w:w="160" w:type="dxa"/>
            <w:vAlign w:val="bottom"/>
          </w:tcPr>
          <w:p>
            <w:pPr>
              <w:spacing w:after="0"/>
              <w:rPr>
                <w:sz w:val="12"/>
                <w:szCs w:val="12"/>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(9,968)</w:t>
            </w:r>
          </w:p>
        </w:tc>
      </w:tr>
      <w:tr>
        <w:trPr>
          <w:trHeight w:val="142"/>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Interest income (expense), net</w:t>
            </w:r>
          </w:p>
        </w:tc>
        <w:tc>
          <w:tcPr>
            <w:tcW w:w="160" w:type="dxa"/>
            <w:vAlign w:val="bottom"/>
            <w:tcBorders>
              <w:top w:val="single" w:sz="8" w:color="auto"/>
            </w:tcBorders>
            <w:shd w:val="clear" w:color="auto" w:fill="CCEEFF"/>
          </w:tcPr>
          <w:p>
            <w:pPr>
              <w:spacing w:after="0"/>
              <w:rPr>
                <w:sz w:val="12"/>
                <w:szCs w:val="12"/>
                <w:color w:val="auto"/>
              </w:rPr>
            </w:pPr>
          </w:p>
        </w:tc>
        <w:tc>
          <w:tcPr>
            <w:tcW w:w="10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(88)</w:t>
            </w:r>
          </w:p>
        </w:tc>
        <w:tc>
          <w:tcPr>
            <w:tcW w:w="22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(88)</w:t>
            </w:r>
          </w:p>
        </w:tc>
        <w:tc>
          <w:tcPr>
            <w:tcW w:w="22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135</w:t>
            </w:r>
          </w:p>
        </w:tc>
        <w:tc>
          <w:tcPr>
            <w:tcW w:w="22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135</w:t>
            </w:r>
          </w:p>
        </w:tc>
        <w:tc>
          <w:tcPr>
            <w:tcW w:w="120" w:type="dxa"/>
            <w:vAlign w:val="bottom"/>
            <w:shd w:val="clear" w:color="auto" w:fill="CCEEFF"/>
          </w:tcPr>
          <w:p>
            <w:pPr>
              <w:spacing w:after="0"/>
              <w:rPr>
                <w:sz w:val="12"/>
                <w:szCs w:val="12"/>
                <w:color w:val="auto"/>
              </w:rPr>
            </w:pPr>
          </w:p>
        </w:tc>
      </w:tr>
      <w:tr>
        <w:trPr>
          <w:trHeight w:val="144"/>
        </w:trPr>
        <w:tc>
          <w:tcPr>
            <w:tcW w:w="3280" w:type="dxa"/>
            <w:vAlign w:val="bottom"/>
          </w:tcPr>
          <w:p>
            <w:pPr>
              <w:spacing w:after="0"/>
              <w:rPr>
                <w:sz w:val="20"/>
                <w:szCs w:val="20"/>
                <w:color w:val="auto"/>
              </w:rPr>
            </w:pPr>
            <w:r>
              <w:rPr>
                <w:rFonts w:ascii="Times New Roman" w:cs="Times New Roman" w:eastAsia="Times New Roman" w:hAnsi="Times New Roman"/>
                <w:sz w:val="12"/>
                <w:szCs w:val="12"/>
                <w:color w:val="auto"/>
              </w:rPr>
              <w:t>Other income (expense), net</w:t>
            </w:r>
          </w:p>
        </w:tc>
        <w:tc>
          <w:tcPr>
            <w:tcW w:w="16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4,967</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(5,000)</w:t>
            </w:r>
          </w:p>
        </w:tc>
        <w:tc>
          <w:tcPr>
            <w:tcW w:w="140" w:type="dxa"/>
            <w:vAlign w:val="bottom"/>
          </w:tcPr>
          <w:p>
            <w:pPr>
              <w:spacing w:after="0"/>
              <w:rPr>
                <w:sz w:val="12"/>
                <w:szCs w:val="12"/>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(33)</w:t>
            </w:r>
          </w:p>
        </w:tc>
        <w:tc>
          <w:tcPr>
            <w:tcW w:w="120" w:type="dxa"/>
            <w:vAlign w:val="bottom"/>
          </w:tcPr>
          <w:p>
            <w:pPr>
              <w:spacing w:after="0"/>
              <w:rPr>
                <w:sz w:val="12"/>
                <w:szCs w:val="12"/>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5,430</w:t>
            </w:r>
          </w:p>
        </w:tc>
        <w:tc>
          <w:tcPr>
            <w:tcW w:w="120" w:type="dxa"/>
            <w:vAlign w:val="bottom"/>
          </w:tcPr>
          <w:p>
            <w:pPr>
              <w:spacing w:after="0"/>
              <w:rPr>
                <w:sz w:val="12"/>
                <w:szCs w:val="12"/>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(5,500)</w:t>
            </w:r>
          </w:p>
        </w:tc>
        <w:tc>
          <w:tcPr>
            <w:tcW w:w="160" w:type="dxa"/>
            <w:vAlign w:val="bottom"/>
          </w:tcPr>
          <w:p>
            <w:pPr>
              <w:spacing w:after="0"/>
              <w:rPr>
                <w:sz w:val="12"/>
                <w:szCs w:val="12"/>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(70)</w:t>
            </w:r>
          </w:p>
        </w:tc>
      </w:tr>
      <w:tr>
        <w:trPr>
          <w:trHeight w:val="142"/>
        </w:trPr>
        <w:tc>
          <w:tcPr>
            <w:tcW w:w="328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2"/>
                <w:szCs w:val="12"/>
                <w:color w:val="auto"/>
              </w:rPr>
              <w:t>Total other income (expense), net</w:t>
            </w:r>
          </w:p>
        </w:tc>
        <w:tc>
          <w:tcPr>
            <w:tcW w:w="160" w:type="dxa"/>
            <w:vAlign w:val="bottom"/>
            <w:tcBorders>
              <w:top w:val="single" w:sz="8" w:color="auto"/>
              <w:bottom w:val="single" w:sz="8" w:color="auto"/>
            </w:tcBorders>
            <w:shd w:val="clear" w:color="auto" w:fill="CCEEFF"/>
          </w:tcPr>
          <w:p>
            <w:pPr>
              <w:spacing w:after="0"/>
              <w:rPr>
                <w:sz w:val="12"/>
                <w:szCs w:val="12"/>
                <w:color w:val="auto"/>
              </w:rPr>
            </w:pPr>
          </w:p>
        </w:tc>
        <w:tc>
          <w:tcPr>
            <w:tcW w:w="100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4,879</w:t>
            </w:r>
          </w:p>
        </w:tc>
        <w:tc>
          <w:tcPr>
            <w:tcW w:w="2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spacing w:after="0"/>
              <w:rPr>
                <w:sz w:val="12"/>
                <w:szCs w:val="12"/>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(5,000)</w:t>
            </w:r>
          </w:p>
        </w:tc>
        <w:tc>
          <w:tcPr>
            <w:tcW w:w="24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spacing w:after="0"/>
              <w:rPr>
                <w:sz w:val="12"/>
                <w:szCs w:val="12"/>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(121)</w:t>
            </w:r>
          </w:p>
        </w:tc>
        <w:tc>
          <w:tcPr>
            <w:tcW w:w="2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spacing w:after="0"/>
              <w:rPr>
                <w:sz w:val="12"/>
                <w:szCs w:val="12"/>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5,565</w:t>
            </w:r>
          </w:p>
        </w:tc>
        <w:tc>
          <w:tcPr>
            <w:tcW w:w="2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spacing w:after="0"/>
              <w:rPr>
                <w:sz w:val="12"/>
                <w:szCs w:val="12"/>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(5,500)</w:t>
            </w:r>
          </w:p>
        </w:tc>
        <w:tc>
          <w:tcPr>
            <w:tcW w:w="22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spacing w:after="0"/>
              <w:rPr>
                <w:sz w:val="12"/>
                <w:szCs w:val="12"/>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65</w:t>
            </w:r>
          </w:p>
        </w:tc>
        <w:tc>
          <w:tcPr>
            <w:tcW w:w="120" w:type="dxa"/>
            <w:vAlign w:val="bottom"/>
            <w:tcBorders>
              <w:bottom w:val="single" w:sz="8" w:color="CCEEFF"/>
            </w:tcBorders>
            <w:shd w:val="clear" w:color="auto" w:fill="CCEEFF"/>
          </w:tcPr>
          <w:p>
            <w:pPr>
              <w:spacing w:after="0"/>
              <w:rPr>
                <w:sz w:val="12"/>
                <w:szCs w:val="12"/>
                <w:color w:val="auto"/>
              </w:rPr>
            </w:pPr>
          </w:p>
        </w:tc>
      </w:tr>
      <w:tr>
        <w:trPr>
          <w:trHeight w:val="142"/>
        </w:trPr>
        <w:tc>
          <w:tcPr>
            <w:tcW w:w="328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Loss before income tax (benefit) expense</w:t>
            </w:r>
          </w:p>
        </w:tc>
        <w:tc>
          <w:tcPr>
            <w:tcW w:w="160" w:type="dxa"/>
            <w:vAlign w:val="bottom"/>
          </w:tcPr>
          <w:p>
            <w:pPr>
              <w:spacing w:after="0"/>
              <w:rPr>
                <w:sz w:val="12"/>
                <w:szCs w:val="12"/>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(8,072)</w:t>
            </w:r>
          </w:p>
        </w:tc>
        <w:tc>
          <w:tcPr>
            <w:tcW w:w="120" w:type="dxa"/>
            <w:vAlign w:val="bottom"/>
          </w:tcPr>
          <w:p>
            <w:pPr>
              <w:spacing w:after="0"/>
              <w:rPr>
                <w:sz w:val="12"/>
                <w:szCs w:val="12"/>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(5,002)</w:t>
            </w:r>
          </w:p>
        </w:tc>
        <w:tc>
          <w:tcPr>
            <w:tcW w:w="140" w:type="dxa"/>
            <w:vAlign w:val="bottom"/>
          </w:tcPr>
          <w:p>
            <w:pPr>
              <w:spacing w:after="0"/>
              <w:rPr>
                <w:sz w:val="12"/>
                <w:szCs w:val="12"/>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(13,074)</w:t>
            </w:r>
          </w:p>
        </w:tc>
        <w:tc>
          <w:tcPr>
            <w:tcW w:w="120" w:type="dxa"/>
            <w:vAlign w:val="bottom"/>
          </w:tcPr>
          <w:p>
            <w:pPr>
              <w:spacing w:after="0"/>
              <w:rPr>
                <w:sz w:val="12"/>
                <w:szCs w:val="12"/>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(4,409)</w:t>
            </w:r>
          </w:p>
        </w:tc>
        <w:tc>
          <w:tcPr>
            <w:tcW w:w="120" w:type="dxa"/>
            <w:vAlign w:val="bottom"/>
          </w:tcPr>
          <w:p>
            <w:pPr>
              <w:spacing w:after="0"/>
              <w:rPr>
                <w:sz w:val="12"/>
                <w:szCs w:val="12"/>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(5,494)</w:t>
            </w:r>
          </w:p>
        </w:tc>
        <w:tc>
          <w:tcPr>
            <w:tcW w:w="160" w:type="dxa"/>
            <w:vAlign w:val="bottom"/>
          </w:tcPr>
          <w:p>
            <w:pPr>
              <w:spacing w:after="0"/>
              <w:rPr>
                <w:sz w:val="12"/>
                <w:szCs w:val="12"/>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(9,903)</w:t>
            </w:r>
          </w:p>
        </w:tc>
      </w:tr>
      <w:tr>
        <w:trPr>
          <w:trHeight w:val="144"/>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Income tax (benefit) expense</w:t>
            </w:r>
          </w:p>
        </w:tc>
        <w:tc>
          <w:tcPr>
            <w:tcW w:w="160" w:type="dxa"/>
            <w:vAlign w:val="bottom"/>
            <w:shd w:val="clear" w:color="auto" w:fill="CCEEFF"/>
          </w:tcPr>
          <w:p>
            <w:pPr>
              <w:spacing w:after="0"/>
              <w:rPr>
                <w:sz w:val="12"/>
                <w:szCs w:val="12"/>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12</w:t>
            </w:r>
          </w:p>
        </w:tc>
        <w:tc>
          <w:tcPr>
            <w:tcW w:w="12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(2)</w:t>
            </w:r>
          </w:p>
        </w:tc>
        <w:tc>
          <w:tcPr>
            <w:tcW w:w="12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(2)</w:t>
            </w:r>
          </w:p>
        </w:tc>
      </w:tr>
      <w:tr>
        <w:trPr>
          <w:trHeight w:val="20"/>
        </w:trPr>
        <w:tc>
          <w:tcPr>
            <w:tcW w:w="32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42"/>
        </w:trPr>
        <w:tc>
          <w:tcPr>
            <w:tcW w:w="328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Net loss</w:t>
            </w:r>
          </w:p>
        </w:tc>
        <w:tc>
          <w:tcPr>
            <w:tcW w:w="1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(8,084)</w:t>
            </w:r>
          </w:p>
        </w:tc>
        <w:tc>
          <w:tcPr>
            <w:tcW w:w="1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(5,002)</w:t>
            </w:r>
          </w:p>
        </w:tc>
        <w:tc>
          <w:tcPr>
            <w:tcW w:w="1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(13,086)</w:t>
            </w:r>
          </w:p>
        </w:tc>
        <w:tc>
          <w:tcPr>
            <w:tcW w:w="1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(4,407)</w:t>
            </w:r>
          </w:p>
        </w:tc>
        <w:tc>
          <w:tcPr>
            <w:tcW w:w="1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(5,494)</w:t>
            </w:r>
          </w:p>
        </w:tc>
        <w:tc>
          <w:tcPr>
            <w:tcW w:w="1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(9,901)</w:t>
            </w:r>
          </w:p>
        </w:tc>
      </w:tr>
      <w:tr>
        <w:trPr>
          <w:trHeight w:val="20"/>
        </w:trPr>
        <w:tc>
          <w:tcPr>
            <w:tcW w:w="3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20"/>
        </w:trPr>
        <w:tc>
          <w:tcPr>
            <w:tcW w:w="32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00" w:type="dxa"/>
            <w:vAlign w:val="bottom"/>
            <w:tcBorders>
              <w:right w:val="single" w:sz="8" w:color="CCEEFF"/>
            </w:tcBorders>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r>
      <w:tr>
        <w:trPr>
          <w:trHeight w:val="144"/>
        </w:trPr>
        <w:tc>
          <w:tcPr>
            <w:tcW w:w="3280" w:type="dxa"/>
            <w:vAlign w:val="bottom"/>
          </w:tcPr>
          <w:p>
            <w:pPr>
              <w:spacing w:after="0"/>
              <w:rPr>
                <w:sz w:val="20"/>
                <w:szCs w:val="20"/>
                <w:color w:val="auto"/>
              </w:rPr>
            </w:pPr>
            <w:r>
              <w:rPr>
                <w:rFonts w:ascii="Times New Roman" w:cs="Times New Roman" w:eastAsia="Times New Roman" w:hAnsi="Times New Roman"/>
                <w:sz w:val="12"/>
                <w:szCs w:val="12"/>
                <w:color w:val="auto"/>
              </w:rPr>
              <w:t>Loss per share</w:t>
            </w: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32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Basic</w:t>
            </w:r>
          </w:p>
        </w:tc>
        <w:tc>
          <w:tcPr>
            <w:tcW w:w="16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(0.19)</w:t>
            </w: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(0.31)</w:t>
            </w:r>
          </w:p>
        </w:tc>
        <w:tc>
          <w:tcPr>
            <w:tcW w:w="12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(0.11)</w:t>
            </w: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(0.24)</w:t>
            </w:r>
          </w:p>
        </w:tc>
      </w:tr>
      <w:tr>
        <w:trPr>
          <w:trHeight w:val="144"/>
        </w:trPr>
        <w:tc>
          <w:tcPr>
            <w:tcW w:w="328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Diluted</w:t>
            </w:r>
          </w:p>
        </w:tc>
        <w:tc>
          <w:tcPr>
            <w:tcW w:w="1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(0.19)</w:t>
            </w: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(0.31)</w:t>
            </w:r>
          </w:p>
        </w:tc>
        <w:tc>
          <w:tcPr>
            <w:tcW w:w="1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(0.11)</w:t>
            </w: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(0.24)</w:t>
            </w:r>
          </w:p>
        </w:tc>
      </w:tr>
      <w:tr>
        <w:trPr>
          <w:trHeight w:val="144"/>
        </w:trPr>
        <w:tc>
          <w:tcPr>
            <w:tcW w:w="3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0" w:type="dxa"/>
            <w:vAlign w:val="bottom"/>
            <w:tcBorders>
              <w:right w:val="single" w:sz="8" w:color="CCEEFF"/>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4"/>
        </w:trPr>
        <w:tc>
          <w:tcPr>
            <w:tcW w:w="3280" w:type="dxa"/>
            <w:vAlign w:val="bottom"/>
          </w:tcPr>
          <w:p>
            <w:pPr>
              <w:spacing w:after="0"/>
              <w:rPr>
                <w:sz w:val="20"/>
                <w:szCs w:val="20"/>
                <w:color w:val="auto"/>
              </w:rPr>
            </w:pPr>
            <w:r>
              <w:rPr>
                <w:rFonts w:ascii="Times New Roman" w:cs="Times New Roman" w:eastAsia="Times New Roman" w:hAnsi="Times New Roman"/>
                <w:sz w:val="12"/>
                <w:szCs w:val="12"/>
                <w:color w:val="auto"/>
              </w:rPr>
              <w:t>Weighted average shares outstanding</w:t>
            </w: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32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Basic</w:t>
            </w:r>
          </w:p>
        </w:tc>
        <w:tc>
          <w:tcPr>
            <w:tcW w:w="160" w:type="dxa"/>
            <w:vAlign w:val="bottom"/>
            <w:shd w:val="clear" w:color="auto" w:fill="CCEEFF"/>
          </w:tcPr>
          <w:p>
            <w:pPr>
              <w:spacing w:after="0"/>
              <w:rPr>
                <w:sz w:val="12"/>
                <w:szCs w:val="12"/>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41,596</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41,596</w:t>
            </w:r>
          </w:p>
        </w:tc>
        <w:tc>
          <w:tcPr>
            <w:tcW w:w="12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40,853</w:t>
            </w: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40,853</w:t>
            </w:r>
          </w:p>
        </w:tc>
      </w:tr>
      <w:tr>
        <w:trPr>
          <w:trHeight w:val="155"/>
        </w:trPr>
        <w:tc>
          <w:tcPr>
            <w:tcW w:w="328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Diluted</w:t>
            </w:r>
          </w:p>
        </w:tc>
        <w:tc>
          <w:tcPr>
            <w:tcW w:w="16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41,596</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41,596</w:t>
            </w:r>
          </w:p>
        </w:tc>
        <w:tc>
          <w:tcPr>
            <w:tcW w:w="120" w:type="dxa"/>
            <w:vAlign w:val="bottom"/>
          </w:tcPr>
          <w:p>
            <w:pPr>
              <w:spacing w:after="0"/>
              <w:rPr>
                <w:sz w:val="13"/>
                <w:szCs w:val="13"/>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40,853</w:t>
            </w: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40,853</w:t>
            </w:r>
          </w:p>
        </w:tc>
      </w:tr>
    </w:tbl>
    <w:p>
      <w:pPr>
        <w:spacing w:after="0" w:line="122" w:lineRule="exact"/>
        <w:rPr>
          <w:sz w:val="20"/>
          <w:szCs w:val="20"/>
          <w:color w:val="auto"/>
        </w:rPr>
      </w:pPr>
    </w:p>
    <w:p>
      <w:pPr>
        <w:ind w:left="8" w:right="260" w:hanging="8"/>
        <w:spacing w:after="0" w:line="279" w:lineRule="auto"/>
        <w:tabs>
          <w:tab w:leader="none" w:pos="208"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Reflects the Company's US GAAP consolidated financial statements before pro forma adjustments related to the sale of the Dialysis and BioSentry Businesses on June 8, 2023, the sale of the PICCs and Midlines Businesses on February 15, 2024 and the discontinuation of the RadioFrequency Ablation and Syntrax products ("the Businesses") as of February 29, 2024, for the three months ended February 28, 2026 and February 28, 2025.</w:t>
      </w:r>
    </w:p>
    <w:p>
      <w:pPr>
        <w:spacing w:after="0" w:line="111" w:lineRule="exact"/>
        <w:rPr>
          <w:rFonts w:ascii="Times New Roman" w:cs="Times New Roman" w:eastAsia="Times New Roman" w:hAnsi="Times New Roman"/>
          <w:sz w:val="12"/>
          <w:szCs w:val="12"/>
          <w:color w:val="auto"/>
        </w:rPr>
      </w:pPr>
    </w:p>
    <w:p>
      <w:pPr>
        <w:ind w:left="168" w:hanging="168"/>
        <w:spacing w:after="0"/>
        <w:tabs>
          <w:tab w:leader="none" w:pos="168"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Reflects the elimination of revenues and expenses representing the operating results from the sales and discontinuation of the Businesses.</w:t>
      </w:r>
    </w:p>
    <w:p>
      <w:pPr>
        <w:spacing w:after="0" w:line="263"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0"/>
          <w:szCs w:val="1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21590</wp:posOffset>
            </wp:positionV>
            <wp:extent cx="7178040" cy="114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8"/>
          </w:cols>
          <w:pgMar w:left="292" w:top="125" w:right="299" w:bottom="1440" w:gutter="0" w:footer="0" w:header="0"/>
        </w:sectPr>
      </w:pPr>
    </w:p>
    <w:bookmarkStart w:id="10" w:name="page11"/>
    <w:bookmarkEnd w:id="10"/>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ANGIODYNAMICS, INC. AND SUBSIDIARIES</w:t>
      </w:r>
    </w:p>
    <w:p>
      <w:pPr>
        <w:spacing w:after="0" w:line="2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CONSOLIDATED INCOME STATEMENTS</w:t>
      </w:r>
    </w:p>
    <w:p>
      <w:pPr>
        <w:spacing w:after="0" w:line="6"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(in thousands, except per share data)</w:t>
      </w:r>
    </w:p>
    <w:p>
      <w:pPr>
        <w:spacing w:after="0" w:line="139" w:lineRule="exact"/>
        <w:rPr>
          <w:sz w:val="20"/>
          <w:szCs w:val="20"/>
          <w:color w:val="auto"/>
        </w:rPr>
      </w:pPr>
    </w:p>
    <w:tbl>
      <w:tblPr>
        <w:tblLayout w:type="fixed"/>
        <w:tblInd w:w="8" w:type="dxa"/>
        <w:tblCellMar>
          <w:top w:w="0" w:type="dxa"/>
          <w:left w:w="0" w:type="dxa"/>
          <w:bottom w:w="0" w:type="dxa"/>
          <w:right w:w="0" w:type="dxa"/>
        </w:tblCellMar>
      </w:tblPr>
      <w:tr>
        <w:trPr>
          <w:trHeight w:val="155"/>
        </w:trPr>
        <w:tc>
          <w:tcPr>
            <w:tcW w:w="32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540" w:type="dxa"/>
            <w:vAlign w:val="bottom"/>
            <w:tcBorders>
              <w:bottom w:val="single" w:sz="8" w:color="auto"/>
            </w:tcBorders>
            <w:gridSpan w:val="5"/>
          </w:tcPr>
          <w:p>
            <w:pPr>
              <w:jc w:val="right"/>
              <w:ind w:right="1000"/>
              <w:spacing w:after="0"/>
              <w:rPr>
                <w:sz w:val="20"/>
                <w:szCs w:val="20"/>
                <w:color w:val="auto"/>
              </w:rPr>
            </w:pPr>
            <w:r>
              <w:rPr>
                <w:rFonts w:ascii="Times New Roman" w:cs="Times New Roman" w:eastAsia="Times New Roman" w:hAnsi="Times New Roman"/>
                <w:sz w:val="12"/>
                <w:szCs w:val="12"/>
                <w:color w:val="auto"/>
              </w:rPr>
              <w:t>Nine Months Ended</w:t>
            </w:r>
          </w:p>
        </w:tc>
        <w:tc>
          <w:tcPr>
            <w:tcW w:w="1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24"/>
        </w:trPr>
        <w:tc>
          <w:tcPr>
            <w:tcW w:w="32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60" w:type="dxa"/>
            <w:vAlign w:val="bottom"/>
            <w:gridSpan w:val="2"/>
          </w:tcPr>
          <w:p>
            <w:pPr>
              <w:jc w:val="center"/>
              <w:ind w:right="360"/>
              <w:spacing w:after="0" w:line="124" w:lineRule="exact"/>
              <w:rPr>
                <w:sz w:val="20"/>
                <w:szCs w:val="20"/>
                <w:color w:val="auto"/>
              </w:rPr>
            </w:pPr>
            <w:r>
              <w:rPr>
                <w:rFonts w:ascii="Times New Roman" w:cs="Times New Roman" w:eastAsia="Times New Roman" w:hAnsi="Times New Roman"/>
                <w:sz w:val="12"/>
                <w:szCs w:val="12"/>
                <w:color w:val="auto"/>
                <w:w w:val="97"/>
              </w:rPr>
              <w:t>Pro Forma</w:t>
            </w:r>
          </w:p>
        </w:tc>
        <w:tc>
          <w:tcPr>
            <w:tcW w:w="1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20" w:type="dxa"/>
            <w:vAlign w:val="bottom"/>
            <w:gridSpan w:val="2"/>
          </w:tcPr>
          <w:p>
            <w:pPr>
              <w:jc w:val="center"/>
              <w:ind w:right="340"/>
              <w:spacing w:after="0" w:line="124" w:lineRule="exact"/>
              <w:rPr>
                <w:sz w:val="20"/>
                <w:szCs w:val="20"/>
                <w:color w:val="auto"/>
              </w:rPr>
            </w:pPr>
            <w:r>
              <w:rPr>
                <w:rFonts w:ascii="Times New Roman" w:cs="Times New Roman" w:eastAsia="Times New Roman" w:hAnsi="Times New Roman"/>
                <w:sz w:val="12"/>
                <w:szCs w:val="12"/>
                <w:color w:val="auto"/>
              </w:rPr>
              <w:t>Pro Forma</w:t>
            </w:r>
          </w:p>
        </w:tc>
        <w:tc>
          <w:tcPr>
            <w:tcW w:w="1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51"/>
        </w:trPr>
        <w:tc>
          <w:tcPr>
            <w:tcW w:w="3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gridSpan w:val="2"/>
          </w:tcPr>
          <w:p>
            <w:pPr>
              <w:jc w:val="right"/>
              <w:ind w:right="580"/>
              <w:spacing w:after="0" w:line="151" w:lineRule="exact"/>
              <w:rPr>
                <w:sz w:val="20"/>
                <w:szCs w:val="20"/>
                <w:color w:val="auto"/>
              </w:rPr>
            </w:pPr>
            <w:r>
              <w:rPr>
                <w:rFonts w:ascii="Times New Roman" w:cs="Times New Roman" w:eastAsia="Times New Roman" w:hAnsi="Times New Roman"/>
                <w:sz w:val="11"/>
                <w:szCs w:val="11"/>
                <w:color w:val="auto"/>
              </w:rPr>
              <w:t xml:space="preserve">Actual </w:t>
            </w:r>
            <w:r>
              <w:rPr>
                <w:rFonts w:ascii="Times New Roman" w:cs="Times New Roman" w:eastAsia="Times New Roman" w:hAnsi="Times New Roman"/>
                <w:sz w:val="17"/>
                <w:szCs w:val="17"/>
                <w:color w:val="auto"/>
                <w:vertAlign w:val="superscript"/>
              </w:rPr>
              <w:t>(1)</w:t>
            </w:r>
          </w:p>
        </w:tc>
        <w:tc>
          <w:tcPr>
            <w:tcW w:w="120" w:type="dxa"/>
            <w:vAlign w:val="bottom"/>
          </w:tcPr>
          <w:p>
            <w:pPr>
              <w:spacing w:after="0"/>
              <w:rPr>
                <w:sz w:val="13"/>
                <w:szCs w:val="13"/>
                <w:color w:val="auto"/>
              </w:rPr>
            </w:pPr>
          </w:p>
        </w:tc>
        <w:tc>
          <w:tcPr>
            <w:tcW w:w="1260" w:type="dxa"/>
            <w:vAlign w:val="bottom"/>
            <w:gridSpan w:val="2"/>
          </w:tcPr>
          <w:p>
            <w:pPr>
              <w:jc w:val="center"/>
              <w:ind w:right="360"/>
              <w:spacing w:after="0" w:line="151" w:lineRule="exact"/>
              <w:rPr>
                <w:sz w:val="20"/>
                <w:szCs w:val="20"/>
                <w:color w:val="auto"/>
              </w:rPr>
            </w:pPr>
            <w:r>
              <w:rPr>
                <w:rFonts w:ascii="Times New Roman" w:cs="Times New Roman" w:eastAsia="Times New Roman" w:hAnsi="Times New Roman"/>
                <w:sz w:val="11"/>
                <w:szCs w:val="11"/>
                <w:color w:val="auto"/>
              </w:rPr>
              <w:t xml:space="preserve">Adjustments </w:t>
            </w:r>
            <w:r>
              <w:rPr>
                <w:rFonts w:ascii="Times New Roman" w:cs="Times New Roman" w:eastAsia="Times New Roman" w:hAnsi="Times New Roman"/>
                <w:sz w:val="17"/>
                <w:szCs w:val="17"/>
                <w:color w:val="auto"/>
                <w:vertAlign w:val="superscript"/>
              </w:rPr>
              <w:t>(2)</w:t>
            </w:r>
          </w:p>
        </w:tc>
        <w:tc>
          <w:tcPr>
            <w:tcW w:w="140" w:type="dxa"/>
            <w:vAlign w:val="bottom"/>
          </w:tcPr>
          <w:p>
            <w:pPr>
              <w:spacing w:after="0"/>
              <w:rPr>
                <w:sz w:val="13"/>
                <w:szCs w:val="13"/>
                <w:color w:val="auto"/>
              </w:rPr>
            </w:pPr>
          </w:p>
        </w:tc>
        <w:tc>
          <w:tcPr>
            <w:tcW w:w="1200" w:type="dxa"/>
            <w:vAlign w:val="bottom"/>
            <w:gridSpan w:val="2"/>
          </w:tcPr>
          <w:p>
            <w:pPr>
              <w:jc w:val="right"/>
              <w:ind w:right="520"/>
              <w:spacing w:after="0"/>
              <w:rPr>
                <w:sz w:val="20"/>
                <w:szCs w:val="20"/>
                <w:color w:val="auto"/>
              </w:rPr>
            </w:pPr>
            <w:r>
              <w:rPr>
                <w:rFonts w:ascii="Times New Roman" w:cs="Times New Roman" w:eastAsia="Times New Roman" w:hAnsi="Times New Roman"/>
                <w:sz w:val="12"/>
                <w:szCs w:val="12"/>
                <w:color w:val="auto"/>
              </w:rPr>
              <w:t>Pro Forma</w:t>
            </w:r>
          </w:p>
        </w:tc>
        <w:tc>
          <w:tcPr>
            <w:tcW w:w="120" w:type="dxa"/>
            <w:vAlign w:val="bottom"/>
          </w:tcPr>
          <w:p>
            <w:pPr>
              <w:spacing w:after="0"/>
              <w:rPr>
                <w:sz w:val="13"/>
                <w:szCs w:val="13"/>
                <w:color w:val="auto"/>
              </w:rPr>
            </w:pPr>
          </w:p>
        </w:tc>
        <w:tc>
          <w:tcPr>
            <w:tcW w:w="1220" w:type="dxa"/>
            <w:vAlign w:val="bottom"/>
            <w:gridSpan w:val="2"/>
          </w:tcPr>
          <w:p>
            <w:pPr>
              <w:jc w:val="right"/>
              <w:ind w:right="400"/>
              <w:spacing w:after="0" w:line="151" w:lineRule="exact"/>
              <w:rPr>
                <w:sz w:val="20"/>
                <w:szCs w:val="20"/>
                <w:color w:val="auto"/>
              </w:rPr>
            </w:pPr>
            <w:r>
              <w:rPr>
                <w:rFonts w:ascii="Times New Roman" w:cs="Times New Roman" w:eastAsia="Times New Roman" w:hAnsi="Times New Roman"/>
                <w:sz w:val="11"/>
                <w:szCs w:val="11"/>
                <w:color w:val="auto"/>
              </w:rPr>
              <w:t xml:space="preserve">As Reported </w:t>
            </w:r>
            <w:r>
              <w:rPr>
                <w:rFonts w:ascii="Times New Roman" w:cs="Times New Roman" w:eastAsia="Times New Roman" w:hAnsi="Times New Roman"/>
                <w:sz w:val="17"/>
                <w:szCs w:val="17"/>
                <w:color w:val="auto"/>
                <w:vertAlign w:val="superscript"/>
              </w:rPr>
              <w:t>(1)</w:t>
            </w:r>
          </w:p>
        </w:tc>
        <w:tc>
          <w:tcPr>
            <w:tcW w:w="120" w:type="dxa"/>
            <w:vAlign w:val="bottom"/>
          </w:tcPr>
          <w:p>
            <w:pPr>
              <w:spacing w:after="0"/>
              <w:rPr>
                <w:sz w:val="13"/>
                <w:szCs w:val="13"/>
                <w:color w:val="auto"/>
              </w:rPr>
            </w:pPr>
          </w:p>
        </w:tc>
        <w:tc>
          <w:tcPr>
            <w:tcW w:w="1220" w:type="dxa"/>
            <w:vAlign w:val="bottom"/>
            <w:gridSpan w:val="2"/>
          </w:tcPr>
          <w:p>
            <w:pPr>
              <w:jc w:val="center"/>
              <w:ind w:right="320"/>
              <w:spacing w:after="0" w:line="151" w:lineRule="exact"/>
              <w:rPr>
                <w:sz w:val="20"/>
                <w:szCs w:val="20"/>
                <w:color w:val="auto"/>
              </w:rPr>
            </w:pPr>
            <w:r>
              <w:rPr>
                <w:rFonts w:ascii="Times New Roman" w:cs="Times New Roman" w:eastAsia="Times New Roman" w:hAnsi="Times New Roman"/>
                <w:sz w:val="11"/>
                <w:szCs w:val="11"/>
                <w:color w:val="auto"/>
              </w:rPr>
              <w:t xml:space="preserve">Adjustments </w:t>
            </w:r>
            <w:r>
              <w:rPr>
                <w:rFonts w:ascii="Times New Roman" w:cs="Times New Roman" w:eastAsia="Times New Roman" w:hAnsi="Times New Roman"/>
                <w:sz w:val="17"/>
                <w:szCs w:val="17"/>
                <w:color w:val="auto"/>
                <w:vertAlign w:val="superscript"/>
              </w:rPr>
              <w:t>(2)</w:t>
            </w:r>
          </w:p>
        </w:tc>
        <w:tc>
          <w:tcPr>
            <w:tcW w:w="160" w:type="dxa"/>
            <w:vAlign w:val="bottom"/>
          </w:tcPr>
          <w:p>
            <w:pPr>
              <w:spacing w:after="0"/>
              <w:rPr>
                <w:sz w:val="13"/>
                <w:szCs w:val="13"/>
                <w:color w:val="auto"/>
              </w:rPr>
            </w:pPr>
          </w:p>
        </w:tc>
        <w:tc>
          <w:tcPr>
            <w:tcW w:w="1080" w:type="dxa"/>
            <w:vAlign w:val="bottom"/>
            <w:gridSpan w:val="2"/>
          </w:tcPr>
          <w:p>
            <w:pPr>
              <w:jc w:val="right"/>
              <w:ind w:right="420"/>
              <w:spacing w:after="0"/>
              <w:rPr>
                <w:sz w:val="20"/>
                <w:szCs w:val="20"/>
                <w:color w:val="auto"/>
              </w:rPr>
            </w:pPr>
            <w:r>
              <w:rPr>
                <w:rFonts w:ascii="Times New Roman" w:cs="Times New Roman" w:eastAsia="Times New Roman" w:hAnsi="Times New Roman"/>
                <w:sz w:val="12"/>
                <w:szCs w:val="12"/>
                <w:color w:val="auto"/>
              </w:rPr>
              <w:t>Pro Forma</w:t>
            </w:r>
          </w:p>
        </w:tc>
      </w:tr>
      <w:tr>
        <w:trPr>
          <w:trHeight w:val="155"/>
        </w:trPr>
        <w:tc>
          <w:tcPr>
            <w:tcW w:w="3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gridSpan w:val="2"/>
          </w:tcPr>
          <w:p>
            <w:pPr>
              <w:jc w:val="right"/>
              <w:ind w:right="500"/>
              <w:spacing w:after="0"/>
              <w:rPr>
                <w:sz w:val="20"/>
                <w:szCs w:val="20"/>
                <w:color w:val="auto"/>
              </w:rPr>
            </w:pPr>
            <w:r>
              <w:rPr>
                <w:rFonts w:ascii="Times New Roman" w:cs="Times New Roman" w:eastAsia="Times New Roman" w:hAnsi="Times New Roman"/>
                <w:sz w:val="12"/>
                <w:szCs w:val="12"/>
                <w:color w:val="auto"/>
              </w:rPr>
              <w:t>Feb 28, 2026</w:t>
            </w:r>
          </w:p>
        </w:tc>
        <w:tc>
          <w:tcPr>
            <w:tcW w:w="120" w:type="dxa"/>
            <w:vAlign w:val="bottom"/>
          </w:tcPr>
          <w:p>
            <w:pPr>
              <w:spacing w:after="0"/>
              <w:rPr>
                <w:sz w:val="13"/>
                <w:szCs w:val="13"/>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2"/>
                <w:szCs w:val="12"/>
                <w:color w:val="auto"/>
                <w:w w:val="98"/>
              </w:rPr>
              <w:t>Feb 28, 2026</w:t>
            </w:r>
          </w:p>
        </w:tc>
        <w:tc>
          <w:tcPr>
            <w:tcW w:w="140" w:type="dxa"/>
            <w:vAlign w:val="bottom"/>
          </w:tcPr>
          <w:p>
            <w:pPr>
              <w:spacing w:after="0"/>
              <w:rPr>
                <w:sz w:val="13"/>
                <w:szCs w:val="13"/>
                <w:color w:val="auto"/>
              </w:rPr>
            </w:pPr>
          </w:p>
        </w:tc>
        <w:tc>
          <w:tcPr>
            <w:tcW w:w="1200" w:type="dxa"/>
            <w:vAlign w:val="bottom"/>
            <w:gridSpan w:val="2"/>
          </w:tcPr>
          <w:p>
            <w:pPr>
              <w:jc w:val="right"/>
              <w:ind w:right="460"/>
              <w:spacing w:after="0"/>
              <w:rPr>
                <w:sz w:val="20"/>
                <w:szCs w:val="20"/>
                <w:color w:val="auto"/>
              </w:rPr>
            </w:pPr>
            <w:r>
              <w:rPr>
                <w:rFonts w:ascii="Times New Roman" w:cs="Times New Roman" w:eastAsia="Times New Roman" w:hAnsi="Times New Roman"/>
                <w:sz w:val="12"/>
                <w:szCs w:val="12"/>
                <w:color w:val="auto"/>
              </w:rPr>
              <w:t>Feb 28, 2026</w:t>
            </w:r>
          </w:p>
        </w:tc>
        <w:tc>
          <w:tcPr>
            <w:tcW w:w="120" w:type="dxa"/>
            <w:vAlign w:val="bottom"/>
          </w:tcPr>
          <w:p>
            <w:pPr>
              <w:spacing w:after="0"/>
              <w:rPr>
                <w:sz w:val="13"/>
                <w:szCs w:val="13"/>
                <w:color w:val="auto"/>
              </w:rPr>
            </w:pPr>
          </w:p>
        </w:tc>
        <w:tc>
          <w:tcPr>
            <w:tcW w:w="1220" w:type="dxa"/>
            <w:vAlign w:val="bottom"/>
            <w:gridSpan w:val="2"/>
          </w:tcPr>
          <w:p>
            <w:pPr>
              <w:jc w:val="right"/>
              <w:ind w:right="460"/>
              <w:spacing w:after="0"/>
              <w:rPr>
                <w:sz w:val="20"/>
                <w:szCs w:val="20"/>
                <w:color w:val="auto"/>
              </w:rPr>
            </w:pPr>
            <w:r>
              <w:rPr>
                <w:rFonts w:ascii="Times New Roman" w:cs="Times New Roman" w:eastAsia="Times New Roman" w:hAnsi="Times New Roman"/>
                <w:sz w:val="12"/>
                <w:szCs w:val="12"/>
                <w:color w:val="auto"/>
              </w:rPr>
              <w:t>Feb 28, 2025</w:t>
            </w:r>
          </w:p>
        </w:tc>
        <w:tc>
          <w:tcPr>
            <w:tcW w:w="120" w:type="dxa"/>
            <w:vAlign w:val="bottom"/>
          </w:tcPr>
          <w:p>
            <w:pPr>
              <w:spacing w:after="0"/>
              <w:rPr>
                <w:sz w:val="13"/>
                <w:szCs w:val="13"/>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2"/>
                <w:szCs w:val="12"/>
                <w:color w:val="auto"/>
              </w:rPr>
              <w:t>Feb 28, 2025</w:t>
            </w:r>
          </w:p>
        </w:tc>
        <w:tc>
          <w:tcPr>
            <w:tcW w:w="160" w:type="dxa"/>
            <w:vAlign w:val="bottom"/>
          </w:tcPr>
          <w:p>
            <w:pPr>
              <w:spacing w:after="0"/>
              <w:rPr>
                <w:sz w:val="13"/>
                <w:szCs w:val="13"/>
                <w:color w:val="auto"/>
              </w:rPr>
            </w:pPr>
          </w:p>
        </w:tc>
        <w:tc>
          <w:tcPr>
            <w:tcW w:w="1080" w:type="dxa"/>
            <w:vAlign w:val="bottom"/>
            <w:gridSpan w:val="2"/>
          </w:tcPr>
          <w:p>
            <w:pPr>
              <w:jc w:val="right"/>
              <w:ind w:right="360"/>
              <w:spacing w:after="0"/>
              <w:rPr>
                <w:sz w:val="20"/>
                <w:szCs w:val="20"/>
                <w:color w:val="auto"/>
              </w:rPr>
            </w:pPr>
            <w:r>
              <w:rPr>
                <w:rFonts w:ascii="Times New Roman" w:cs="Times New Roman" w:eastAsia="Times New Roman" w:hAnsi="Times New Roman"/>
                <w:sz w:val="12"/>
                <w:szCs w:val="12"/>
                <w:color w:val="auto"/>
              </w:rPr>
              <w:t>Feb 28, 2025</w:t>
            </w:r>
          </w:p>
        </w:tc>
      </w:tr>
      <w:tr>
        <w:trPr>
          <w:trHeight w:val="142"/>
        </w:trPr>
        <w:tc>
          <w:tcPr>
            <w:tcW w:w="32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jc w:val="center"/>
              <w:ind w:right="80"/>
              <w:spacing w:after="0"/>
              <w:rPr>
                <w:sz w:val="20"/>
                <w:szCs w:val="20"/>
                <w:color w:val="auto"/>
              </w:rPr>
            </w:pPr>
            <w:r>
              <w:rPr>
                <w:rFonts w:ascii="Times New Roman" w:cs="Times New Roman" w:eastAsia="Times New Roman" w:hAnsi="Times New Roman"/>
                <w:sz w:val="12"/>
                <w:szCs w:val="12"/>
                <w:color w:val="auto"/>
              </w:rPr>
              <w:t>(unaudited)</w:t>
            </w:r>
          </w:p>
        </w:tc>
        <w:tc>
          <w:tcPr>
            <w:tcW w:w="2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jc w:val="center"/>
              <w:ind w:right="60"/>
              <w:spacing w:after="0"/>
              <w:rPr>
                <w:sz w:val="20"/>
                <w:szCs w:val="20"/>
                <w:color w:val="auto"/>
              </w:rPr>
            </w:pPr>
            <w:r>
              <w:rPr>
                <w:rFonts w:ascii="Times New Roman" w:cs="Times New Roman" w:eastAsia="Times New Roman" w:hAnsi="Times New Roman"/>
                <w:sz w:val="12"/>
                <w:szCs w:val="12"/>
                <w:color w:val="auto"/>
              </w:rPr>
              <w:t>(unaudited)</w:t>
            </w: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Net sales</w:t>
            </w:r>
          </w:p>
        </w:tc>
        <w:tc>
          <w:tcPr>
            <w:tcW w:w="16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233,567</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(2)</w:t>
            </w:r>
          </w:p>
        </w:tc>
        <w:tc>
          <w:tcPr>
            <w:tcW w:w="14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233,565</w:t>
            </w:r>
          </w:p>
        </w:tc>
        <w:tc>
          <w:tcPr>
            <w:tcW w:w="12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212,340</w:t>
            </w:r>
          </w:p>
        </w:tc>
        <w:tc>
          <w:tcPr>
            <w:tcW w:w="12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188</w:t>
            </w:r>
          </w:p>
        </w:tc>
        <w:tc>
          <w:tcPr>
            <w:tcW w:w="16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212,528</w:t>
            </w:r>
          </w:p>
        </w:tc>
      </w:tr>
      <w:tr>
        <w:trPr>
          <w:trHeight w:val="144"/>
        </w:trPr>
        <w:tc>
          <w:tcPr>
            <w:tcW w:w="3280" w:type="dxa"/>
            <w:vAlign w:val="bottom"/>
          </w:tcPr>
          <w:p>
            <w:pPr>
              <w:spacing w:after="0"/>
              <w:rPr>
                <w:sz w:val="20"/>
                <w:szCs w:val="20"/>
                <w:color w:val="auto"/>
              </w:rPr>
            </w:pPr>
            <w:r>
              <w:rPr>
                <w:rFonts w:ascii="Times New Roman" w:cs="Times New Roman" w:eastAsia="Times New Roman" w:hAnsi="Times New Roman"/>
                <w:sz w:val="12"/>
                <w:szCs w:val="12"/>
                <w:color w:val="auto"/>
              </w:rPr>
              <w:t>Cost of sales (exclusive of intangible amortization)</w:t>
            </w:r>
          </w:p>
        </w:tc>
        <w:tc>
          <w:tcPr>
            <w:tcW w:w="16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105,448</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105,448</w:t>
            </w:r>
          </w:p>
        </w:tc>
        <w:tc>
          <w:tcPr>
            <w:tcW w:w="120" w:type="dxa"/>
            <w:vAlign w:val="bottom"/>
          </w:tcPr>
          <w:p>
            <w:pPr>
              <w:spacing w:after="0"/>
              <w:rPr>
                <w:sz w:val="12"/>
                <w:szCs w:val="12"/>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96,853</w:t>
            </w:r>
          </w:p>
        </w:tc>
        <w:tc>
          <w:tcPr>
            <w:tcW w:w="120" w:type="dxa"/>
            <w:vAlign w:val="bottom"/>
          </w:tcPr>
          <w:p>
            <w:pPr>
              <w:spacing w:after="0"/>
              <w:rPr>
                <w:sz w:val="12"/>
                <w:szCs w:val="12"/>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155</w:t>
            </w:r>
          </w:p>
        </w:tc>
        <w:tc>
          <w:tcPr>
            <w:tcW w:w="160" w:type="dxa"/>
            <w:vAlign w:val="bottom"/>
          </w:tcPr>
          <w:p>
            <w:pPr>
              <w:spacing w:after="0"/>
              <w:rPr>
                <w:sz w:val="12"/>
                <w:szCs w:val="12"/>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97,008</w:t>
            </w:r>
          </w:p>
        </w:tc>
      </w:tr>
      <w:tr>
        <w:trPr>
          <w:trHeight w:val="20"/>
        </w:trPr>
        <w:tc>
          <w:tcPr>
            <w:tcW w:w="3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42"/>
        </w:trPr>
        <w:tc>
          <w:tcPr>
            <w:tcW w:w="32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Gross margin</w:t>
            </w:r>
          </w:p>
        </w:tc>
        <w:tc>
          <w:tcPr>
            <w:tcW w:w="160" w:type="dxa"/>
            <w:vAlign w:val="bottom"/>
            <w:shd w:val="clear" w:color="auto" w:fill="CCEEFF"/>
          </w:tcPr>
          <w:p>
            <w:pPr>
              <w:spacing w:after="0"/>
              <w:rPr>
                <w:sz w:val="12"/>
                <w:szCs w:val="12"/>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128,119</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(2)</w:t>
            </w: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128,117</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115,487</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33</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115,520</w:t>
            </w:r>
          </w:p>
        </w:tc>
        <w:tc>
          <w:tcPr>
            <w:tcW w:w="120" w:type="dxa"/>
            <w:vAlign w:val="bottom"/>
            <w:shd w:val="clear" w:color="auto" w:fill="CCEEFF"/>
          </w:tcPr>
          <w:p>
            <w:pPr>
              <w:spacing w:after="0"/>
              <w:rPr>
                <w:sz w:val="12"/>
                <w:szCs w:val="12"/>
                <w:color w:val="auto"/>
              </w:rPr>
            </w:pPr>
          </w:p>
        </w:tc>
      </w:tr>
      <w:tr>
        <w:trPr>
          <w:trHeight w:val="20"/>
        </w:trPr>
        <w:tc>
          <w:tcPr>
            <w:tcW w:w="32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42"/>
        </w:trPr>
        <w:tc>
          <w:tcPr>
            <w:tcW w:w="328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 of net sales</w:t>
            </w:r>
          </w:p>
        </w:tc>
        <w:tc>
          <w:tcPr>
            <w:tcW w:w="160" w:type="dxa"/>
            <w:vAlign w:val="bottom"/>
          </w:tcPr>
          <w:p>
            <w:pPr>
              <w:spacing w:after="0"/>
              <w:rPr>
                <w:sz w:val="12"/>
                <w:szCs w:val="12"/>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54.9%</w:t>
            </w: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54.9%</w:t>
            </w:r>
          </w:p>
        </w:tc>
        <w:tc>
          <w:tcPr>
            <w:tcW w:w="120" w:type="dxa"/>
            <w:vAlign w:val="bottom"/>
          </w:tcPr>
          <w:p>
            <w:pPr>
              <w:spacing w:after="0"/>
              <w:rPr>
                <w:sz w:val="12"/>
                <w:szCs w:val="12"/>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54.4%</w:t>
            </w: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54.4%</w:t>
            </w:r>
          </w:p>
        </w:tc>
      </w:tr>
      <w:tr>
        <w:trPr>
          <w:trHeight w:val="144"/>
        </w:trPr>
        <w:tc>
          <w:tcPr>
            <w:tcW w:w="3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0" w:type="dxa"/>
            <w:vAlign w:val="bottom"/>
            <w:tcBorders>
              <w:right w:val="single" w:sz="8" w:color="CCEEFF"/>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4"/>
        </w:trPr>
        <w:tc>
          <w:tcPr>
            <w:tcW w:w="3280" w:type="dxa"/>
            <w:vAlign w:val="bottom"/>
          </w:tcPr>
          <w:p>
            <w:pPr>
              <w:spacing w:after="0"/>
              <w:rPr>
                <w:sz w:val="20"/>
                <w:szCs w:val="20"/>
                <w:color w:val="auto"/>
              </w:rPr>
            </w:pPr>
            <w:r>
              <w:rPr>
                <w:rFonts w:ascii="Times New Roman" w:cs="Times New Roman" w:eastAsia="Times New Roman" w:hAnsi="Times New Roman"/>
                <w:sz w:val="12"/>
                <w:szCs w:val="12"/>
                <w:color w:val="auto"/>
              </w:rPr>
              <w:t>Operating expenses</w:t>
            </w: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32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Research and development</w:t>
            </w:r>
          </w:p>
        </w:tc>
        <w:tc>
          <w:tcPr>
            <w:tcW w:w="16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21,269</w:t>
            </w:r>
          </w:p>
        </w:tc>
        <w:tc>
          <w:tcPr>
            <w:tcW w:w="12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21,269</w:t>
            </w:r>
          </w:p>
        </w:tc>
        <w:tc>
          <w:tcPr>
            <w:tcW w:w="12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19,632</w:t>
            </w:r>
          </w:p>
        </w:tc>
        <w:tc>
          <w:tcPr>
            <w:tcW w:w="12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19,632</w:t>
            </w:r>
          </w:p>
        </w:tc>
      </w:tr>
      <w:tr>
        <w:trPr>
          <w:trHeight w:val="144"/>
        </w:trPr>
        <w:tc>
          <w:tcPr>
            <w:tcW w:w="328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Sales and marketing</w:t>
            </w:r>
          </w:p>
        </w:tc>
        <w:tc>
          <w:tcPr>
            <w:tcW w:w="160" w:type="dxa"/>
            <w:vAlign w:val="bottom"/>
          </w:tcPr>
          <w:p>
            <w:pPr>
              <w:spacing w:after="0"/>
              <w:rPr>
                <w:sz w:val="12"/>
                <w:szCs w:val="12"/>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82,278</w:t>
            </w:r>
          </w:p>
        </w:tc>
        <w:tc>
          <w:tcPr>
            <w:tcW w:w="120" w:type="dxa"/>
            <w:vAlign w:val="bottom"/>
          </w:tcPr>
          <w:p>
            <w:pPr>
              <w:spacing w:after="0"/>
              <w:rPr>
                <w:sz w:val="12"/>
                <w:szCs w:val="12"/>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2"/>
                <w:szCs w:val="12"/>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82,278</w:t>
            </w:r>
          </w:p>
        </w:tc>
        <w:tc>
          <w:tcPr>
            <w:tcW w:w="120" w:type="dxa"/>
            <w:vAlign w:val="bottom"/>
          </w:tcPr>
          <w:p>
            <w:pPr>
              <w:spacing w:after="0"/>
              <w:rPr>
                <w:sz w:val="12"/>
                <w:szCs w:val="12"/>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76,698</w:t>
            </w:r>
          </w:p>
        </w:tc>
        <w:tc>
          <w:tcPr>
            <w:tcW w:w="120" w:type="dxa"/>
            <w:vAlign w:val="bottom"/>
          </w:tcPr>
          <w:p>
            <w:pPr>
              <w:spacing w:after="0"/>
              <w:rPr>
                <w:sz w:val="12"/>
                <w:szCs w:val="12"/>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2"/>
                <w:szCs w:val="12"/>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76,698</w:t>
            </w:r>
          </w:p>
        </w:tc>
      </w:tr>
      <w:tr>
        <w:trPr>
          <w:trHeight w:val="144"/>
        </w:trPr>
        <w:tc>
          <w:tcPr>
            <w:tcW w:w="32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General and administrative</w:t>
            </w:r>
          </w:p>
        </w:tc>
        <w:tc>
          <w:tcPr>
            <w:tcW w:w="16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33,425</w:t>
            </w:r>
          </w:p>
        </w:tc>
        <w:tc>
          <w:tcPr>
            <w:tcW w:w="12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33,425</w:t>
            </w:r>
          </w:p>
        </w:tc>
        <w:tc>
          <w:tcPr>
            <w:tcW w:w="12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31,856</w:t>
            </w:r>
          </w:p>
        </w:tc>
        <w:tc>
          <w:tcPr>
            <w:tcW w:w="12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31,856</w:t>
            </w:r>
          </w:p>
        </w:tc>
      </w:tr>
      <w:tr>
        <w:trPr>
          <w:trHeight w:val="144"/>
        </w:trPr>
        <w:tc>
          <w:tcPr>
            <w:tcW w:w="328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Amortization of intangibles</w:t>
            </w:r>
          </w:p>
        </w:tc>
        <w:tc>
          <w:tcPr>
            <w:tcW w:w="16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7,964</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2"/>
                <w:szCs w:val="12"/>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7,964</w:t>
            </w:r>
          </w:p>
        </w:tc>
        <w:tc>
          <w:tcPr>
            <w:tcW w:w="120" w:type="dxa"/>
            <w:vAlign w:val="bottom"/>
          </w:tcPr>
          <w:p>
            <w:pPr>
              <w:spacing w:after="0"/>
              <w:rPr>
                <w:sz w:val="12"/>
                <w:szCs w:val="12"/>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7,730</w:t>
            </w:r>
          </w:p>
        </w:tc>
        <w:tc>
          <w:tcPr>
            <w:tcW w:w="120" w:type="dxa"/>
            <w:vAlign w:val="bottom"/>
          </w:tcPr>
          <w:p>
            <w:pPr>
              <w:spacing w:after="0"/>
              <w:rPr>
                <w:sz w:val="12"/>
                <w:szCs w:val="12"/>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2"/>
                <w:szCs w:val="12"/>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7,730</w:t>
            </w:r>
          </w:p>
        </w:tc>
      </w:tr>
      <w:tr>
        <w:trPr>
          <w:trHeight w:val="144"/>
        </w:trPr>
        <w:tc>
          <w:tcPr>
            <w:tcW w:w="32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Change in fair value of contingent consideration</w:t>
            </w:r>
          </w:p>
        </w:tc>
        <w:tc>
          <w:tcPr>
            <w:tcW w:w="16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272</w:t>
            </w:r>
          </w:p>
        </w:tc>
        <w:tc>
          <w:tcPr>
            <w:tcW w:w="12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272</w:t>
            </w:r>
          </w:p>
        </w:tc>
      </w:tr>
      <w:tr>
        <w:trPr>
          <w:trHeight w:val="144"/>
        </w:trPr>
        <w:tc>
          <w:tcPr>
            <w:tcW w:w="328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Acquisition, restructuring and other items, net</w:t>
            </w:r>
          </w:p>
        </w:tc>
        <w:tc>
          <w:tcPr>
            <w:tcW w:w="160" w:type="dxa"/>
            <w:vAlign w:val="bottom"/>
          </w:tcPr>
          <w:p>
            <w:pPr>
              <w:spacing w:after="0"/>
              <w:rPr>
                <w:sz w:val="12"/>
                <w:szCs w:val="12"/>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12,915</w:t>
            </w:r>
          </w:p>
        </w:tc>
        <w:tc>
          <w:tcPr>
            <w:tcW w:w="120" w:type="dxa"/>
            <w:vAlign w:val="bottom"/>
          </w:tcPr>
          <w:p>
            <w:pPr>
              <w:spacing w:after="0"/>
              <w:rPr>
                <w:sz w:val="12"/>
                <w:szCs w:val="12"/>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2"/>
                <w:szCs w:val="12"/>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12,915</w:t>
            </w:r>
          </w:p>
        </w:tc>
        <w:tc>
          <w:tcPr>
            <w:tcW w:w="120" w:type="dxa"/>
            <w:vAlign w:val="bottom"/>
          </w:tcPr>
          <w:p>
            <w:pPr>
              <w:spacing w:after="0"/>
              <w:rPr>
                <w:sz w:val="12"/>
                <w:szCs w:val="12"/>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13,465</w:t>
            </w:r>
          </w:p>
        </w:tc>
        <w:tc>
          <w:tcPr>
            <w:tcW w:w="120" w:type="dxa"/>
            <w:vAlign w:val="bottom"/>
          </w:tcPr>
          <w:p>
            <w:pPr>
              <w:spacing w:after="0"/>
              <w:rPr>
                <w:sz w:val="12"/>
                <w:szCs w:val="12"/>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161</w:t>
            </w:r>
          </w:p>
        </w:tc>
        <w:tc>
          <w:tcPr>
            <w:tcW w:w="160" w:type="dxa"/>
            <w:vAlign w:val="bottom"/>
          </w:tcPr>
          <w:p>
            <w:pPr>
              <w:spacing w:after="0"/>
              <w:rPr>
                <w:sz w:val="12"/>
                <w:szCs w:val="12"/>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13,626</w:t>
            </w:r>
          </w:p>
        </w:tc>
      </w:tr>
      <w:tr>
        <w:trPr>
          <w:trHeight w:val="142"/>
        </w:trPr>
        <w:tc>
          <w:tcPr>
            <w:tcW w:w="328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2"/>
                <w:szCs w:val="12"/>
                <w:color w:val="auto"/>
              </w:rPr>
              <w:t>Total operating expenses</w:t>
            </w:r>
          </w:p>
        </w:tc>
        <w:tc>
          <w:tcPr>
            <w:tcW w:w="160" w:type="dxa"/>
            <w:vAlign w:val="bottom"/>
            <w:tcBorders>
              <w:top w:val="single" w:sz="8" w:color="auto"/>
              <w:bottom w:val="single" w:sz="8" w:color="auto"/>
            </w:tcBorders>
            <w:shd w:val="clear" w:color="auto" w:fill="CCEEFF"/>
          </w:tcPr>
          <w:p>
            <w:pPr>
              <w:spacing w:after="0"/>
              <w:rPr>
                <w:sz w:val="12"/>
                <w:szCs w:val="12"/>
                <w:color w:val="auto"/>
              </w:rPr>
            </w:pPr>
          </w:p>
        </w:tc>
        <w:tc>
          <w:tcPr>
            <w:tcW w:w="100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157,851</w:t>
            </w:r>
          </w:p>
        </w:tc>
        <w:tc>
          <w:tcPr>
            <w:tcW w:w="2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spacing w:after="0"/>
              <w:rPr>
                <w:sz w:val="12"/>
                <w:szCs w:val="12"/>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spacing w:after="0"/>
              <w:rPr>
                <w:sz w:val="12"/>
                <w:szCs w:val="12"/>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157,851</w:t>
            </w:r>
          </w:p>
        </w:tc>
        <w:tc>
          <w:tcPr>
            <w:tcW w:w="2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spacing w:after="0"/>
              <w:rPr>
                <w:sz w:val="12"/>
                <w:szCs w:val="12"/>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149,653</w:t>
            </w:r>
          </w:p>
        </w:tc>
        <w:tc>
          <w:tcPr>
            <w:tcW w:w="2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spacing w:after="0"/>
              <w:rPr>
                <w:sz w:val="12"/>
                <w:szCs w:val="12"/>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161</w:t>
            </w:r>
          </w:p>
        </w:tc>
        <w:tc>
          <w:tcPr>
            <w:tcW w:w="22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spacing w:after="0"/>
              <w:rPr>
                <w:sz w:val="12"/>
                <w:szCs w:val="12"/>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149,814</w:t>
            </w:r>
          </w:p>
        </w:tc>
        <w:tc>
          <w:tcPr>
            <w:tcW w:w="120" w:type="dxa"/>
            <w:vAlign w:val="bottom"/>
            <w:tcBorders>
              <w:bottom w:val="single" w:sz="8" w:color="CCEEFF"/>
            </w:tcBorders>
            <w:shd w:val="clear" w:color="auto" w:fill="CCEEFF"/>
          </w:tcPr>
          <w:p>
            <w:pPr>
              <w:spacing w:after="0"/>
              <w:rPr>
                <w:sz w:val="12"/>
                <w:szCs w:val="12"/>
                <w:color w:val="auto"/>
              </w:rPr>
            </w:pPr>
          </w:p>
        </w:tc>
      </w:tr>
      <w:tr>
        <w:trPr>
          <w:trHeight w:val="142"/>
        </w:trPr>
        <w:tc>
          <w:tcPr>
            <w:tcW w:w="328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Operating loss</w:t>
            </w:r>
          </w:p>
        </w:tc>
        <w:tc>
          <w:tcPr>
            <w:tcW w:w="160" w:type="dxa"/>
            <w:vAlign w:val="bottom"/>
          </w:tcPr>
          <w:p>
            <w:pPr>
              <w:spacing w:after="0"/>
              <w:rPr>
                <w:sz w:val="12"/>
                <w:szCs w:val="12"/>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(29,732)</w:t>
            </w:r>
          </w:p>
        </w:tc>
        <w:tc>
          <w:tcPr>
            <w:tcW w:w="120" w:type="dxa"/>
            <w:vAlign w:val="bottom"/>
          </w:tcPr>
          <w:p>
            <w:pPr>
              <w:spacing w:after="0"/>
              <w:rPr>
                <w:sz w:val="12"/>
                <w:szCs w:val="12"/>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(2)</w:t>
            </w:r>
          </w:p>
        </w:tc>
        <w:tc>
          <w:tcPr>
            <w:tcW w:w="140" w:type="dxa"/>
            <w:vAlign w:val="bottom"/>
          </w:tcPr>
          <w:p>
            <w:pPr>
              <w:spacing w:after="0"/>
              <w:rPr>
                <w:sz w:val="12"/>
                <w:szCs w:val="12"/>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(29,734)</w:t>
            </w:r>
          </w:p>
        </w:tc>
        <w:tc>
          <w:tcPr>
            <w:tcW w:w="120" w:type="dxa"/>
            <w:vAlign w:val="bottom"/>
          </w:tcPr>
          <w:p>
            <w:pPr>
              <w:spacing w:after="0"/>
              <w:rPr>
                <w:sz w:val="12"/>
                <w:szCs w:val="12"/>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(34,166)</w:t>
            </w:r>
          </w:p>
        </w:tc>
        <w:tc>
          <w:tcPr>
            <w:tcW w:w="120" w:type="dxa"/>
            <w:vAlign w:val="bottom"/>
          </w:tcPr>
          <w:p>
            <w:pPr>
              <w:spacing w:after="0"/>
              <w:rPr>
                <w:sz w:val="12"/>
                <w:szCs w:val="12"/>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(128)</w:t>
            </w:r>
          </w:p>
        </w:tc>
        <w:tc>
          <w:tcPr>
            <w:tcW w:w="160" w:type="dxa"/>
            <w:vAlign w:val="bottom"/>
          </w:tcPr>
          <w:p>
            <w:pPr>
              <w:spacing w:after="0"/>
              <w:rPr>
                <w:sz w:val="12"/>
                <w:szCs w:val="12"/>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(34,294)</w:t>
            </w:r>
          </w:p>
        </w:tc>
      </w:tr>
      <w:tr>
        <w:trPr>
          <w:trHeight w:val="142"/>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Interest income (expense), net</w:t>
            </w:r>
          </w:p>
        </w:tc>
        <w:tc>
          <w:tcPr>
            <w:tcW w:w="160" w:type="dxa"/>
            <w:vAlign w:val="bottom"/>
            <w:tcBorders>
              <w:top w:val="single" w:sz="8" w:color="auto"/>
            </w:tcBorders>
            <w:shd w:val="clear" w:color="auto" w:fill="CCEEFF"/>
          </w:tcPr>
          <w:p>
            <w:pPr>
              <w:spacing w:after="0"/>
              <w:rPr>
                <w:sz w:val="12"/>
                <w:szCs w:val="12"/>
                <w:color w:val="auto"/>
              </w:rPr>
            </w:pPr>
          </w:p>
        </w:tc>
        <w:tc>
          <w:tcPr>
            <w:tcW w:w="10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(194)</w:t>
            </w:r>
          </w:p>
        </w:tc>
        <w:tc>
          <w:tcPr>
            <w:tcW w:w="22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(194)</w:t>
            </w:r>
          </w:p>
        </w:tc>
        <w:tc>
          <w:tcPr>
            <w:tcW w:w="22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975</w:t>
            </w:r>
          </w:p>
        </w:tc>
        <w:tc>
          <w:tcPr>
            <w:tcW w:w="22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975</w:t>
            </w:r>
          </w:p>
        </w:tc>
        <w:tc>
          <w:tcPr>
            <w:tcW w:w="120" w:type="dxa"/>
            <w:vAlign w:val="bottom"/>
            <w:shd w:val="clear" w:color="auto" w:fill="CCEEFF"/>
          </w:tcPr>
          <w:p>
            <w:pPr>
              <w:spacing w:after="0"/>
              <w:rPr>
                <w:sz w:val="12"/>
                <w:szCs w:val="12"/>
                <w:color w:val="auto"/>
              </w:rPr>
            </w:pPr>
          </w:p>
        </w:tc>
      </w:tr>
      <w:tr>
        <w:trPr>
          <w:trHeight w:val="144"/>
        </w:trPr>
        <w:tc>
          <w:tcPr>
            <w:tcW w:w="3280" w:type="dxa"/>
            <w:vAlign w:val="bottom"/>
          </w:tcPr>
          <w:p>
            <w:pPr>
              <w:spacing w:after="0"/>
              <w:rPr>
                <w:sz w:val="20"/>
                <w:szCs w:val="20"/>
                <w:color w:val="auto"/>
              </w:rPr>
            </w:pPr>
            <w:r>
              <w:rPr>
                <w:rFonts w:ascii="Times New Roman" w:cs="Times New Roman" w:eastAsia="Times New Roman" w:hAnsi="Times New Roman"/>
                <w:sz w:val="12"/>
                <w:szCs w:val="12"/>
                <w:color w:val="auto"/>
              </w:rPr>
              <w:t>Other income (expense), net</w:t>
            </w:r>
          </w:p>
        </w:tc>
        <w:tc>
          <w:tcPr>
            <w:tcW w:w="16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4,661</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(5,000)</w:t>
            </w:r>
          </w:p>
        </w:tc>
        <w:tc>
          <w:tcPr>
            <w:tcW w:w="140" w:type="dxa"/>
            <w:vAlign w:val="bottom"/>
          </w:tcPr>
          <w:p>
            <w:pPr>
              <w:spacing w:after="0"/>
              <w:rPr>
                <w:sz w:val="12"/>
                <w:szCs w:val="12"/>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(339)</w:t>
            </w:r>
          </w:p>
        </w:tc>
        <w:tc>
          <w:tcPr>
            <w:tcW w:w="120" w:type="dxa"/>
            <w:vAlign w:val="bottom"/>
          </w:tcPr>
          <w:p>
            <w:pPr>
              <w:spacing w:after="0"/>
              <w:rPr>
                <w:sz w:val="12"/>
                <w:szCs w:val="12"/>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5,269</w:t>
            </w:r>
          </w:p>
        </w:tc>
        <w:tc>
          <w:tcPr>
            <w:tcW w:w="120" w:type="dxa"/>
            <w:vAlign w:val="bottom"/>
          </w:tcPr>
          <w:p>
            <w:pPr>
              <w:spacing w:after="0"/>
              <w:rPr>
                <w:sz w:val="12"/>
                <w:szCs w:val="12"/>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(5,500)</w:t>
            </w:r>
          </w:p>
        </w:tc>
        <w:tc>
          <w:tcPr>
            <w:tcW w:w="160" w:type="dxa"/>
            <w:vAlign w:val="bottom"/>
          </w:tcPr>
          <w:p>
            <w:pPr>
              <w:spacing w:after="0"/>
              <w:rPr>
                <w:sz w:val="12"/>
                <w:szCs w:val="12"/>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(231)</w:t>
            </w:r>
          </w:p>
        </w:tc>
      </w:tr>
      <w:tr>
        <w:trPr>
          <w:trHeight w:val="142"/>
        </w:trPr>
        <w:tc>
          <w:tcPr>
            <w:tcW w:w="328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2"/>
                <w:szCs w:val="12"/>
                <w:color w:val="auto"/>
              </w:rPr>
              <w:t>Total other income (expense), net</w:t>
            </w:r>
          </w:p>
        </w:tc>
        <w:tc>
          <w:tcPr>
            <w:tcW w:w="160" w:type="dxa"/>
            <w:vAlign w:val="bottom"/>
            <w:tcBorders>
              <w:top w:val="single" w:sz="8" w:color="auto"/>
              <w:bottom w:val="single" w:sz="8" w:color="auto"/>
            </w:tcBorders>
            <w:shd w:val="clear" w:color="auto" w:fill="CCEEFF"/>
          </w:tcPr>
          <w:p>
            <w:pPr>
              <w:spacing w:after="0"/>
              <w:rPr>
                <w:sz w:val="12"/>
                <w:szCs w:val="12"/>
                <w:color w:val="auto"/>
              </w:rPr>
            </w:pPr>
          </w:p>
        </w:tc>
        <w:tc>
          <w:tcPr>
            <w:tcW w:w="100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4,467</w:t>
            </w:r>
          </w:p>
        </w:tc>
        <w:tc>
          <w:tcPr>
            <w:tcW w:w="2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spacing w:after="0"/>
              <w:rPr>
                <w:sz w:val="12"/>
                <w:szCs w:val="12"/>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(5,000)</w:t>
            </w:r>
          </w:p>
        </w:tc>
        <w:tc>
          <w:tcPr>
            <w:tcW w:w="24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spacing w:after="0"/>
              <w:rPr>
                <w:sz w:val="12"/>
                <w:szCs w:val="12"/>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(533)</w:t>
            </w:r>
          </w:p>
        </w:tc>
        <w:tc>
          <w:tcPr>
            <w:tcW w:w="2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spacing w:after="0"/>
              <w:rPr>
                <w:sz w:val="12"/>
                <w:szCs w:val="12"/>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6,244</w:t>
            </w:r>
          </w:p>
        </w:tc>
        <w:tc>
          <w:tcPr>
            <w:tcW w:w="2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spacing w:after="0"/>
              <w:rPr>
                <w:sz w:val="12"/>
                <w:szCs w:val="12"/>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(5,500)</w:t>
            </w:r>
          </w:p>
        </w:tc>
        <w:tc>
          <w:tcPr>
            <w:tcW w:w="22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spacing w:after="0"/>
              <w:rPr>
                <w:sz w:val="12"/>
                <w:szCs w:val="12"/>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744</w:t>
            </w:r>
          </w:p>
        </w:tc>
        <w:tc>
          <w:tcPr>
            <w:tcW w:w="120" w:type="dxa"/>
            <w:vAlign w:val="bottom"/>
            <w:tcBorders>
              <w:bottom w:val="single" w:sz="8" w:color="CCEEFF"/>
            </w:tcBorders>
            <w:shd w:val="clear" w:color="auto" w:fill="CCEEFF"/>
          </w:tcPr>
          <w:p>
            <w:pPr>
              <w:spacing w:after="0"/>
              <w:rPr>
                <w:sz w:val="12"/>
                <w:szCs w:val="12"/>
                <w:color w:val="auto"/>
              </w:rPr>
            </w:pPr>
          </w:p>
        </w:tc>
      </w:tr>
      <w:tr>
        <w:trPr>
          <w:trHeight w:val="142"/>
        </w:trPr>
        <w:tc>
          <w:tcPr>
            <w:tcW w:w="328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Loss before income tax expense</w:t>
            </w:r>
          </w:p>
        </w:tc>
        <w:tc>
          <w:tcPr>
            <w:tcW w:w="160" w:type="dxa"/>
            <w:vAlign w:val="bottom"/>
          </w:tcPr>
          <w:p>
            <w:pPr>
              <w:spacing w:after="0"/>
              <w:rPr>
                <w:sz w:val="12"/>
                <w:szCs w:val="12"/>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(25,265)</w:t>
            </w:r>
          </w:p>
        </w:tc>
        <w:tc>
          <w:tcPr>
            <w:tcW w:w="120" w:type="dxa"/>
            <w:vAlign w:val="bottom"/>
          </w:tcPr>
          <w:p>
            <w:pPr>
              <w:spacing w:after="0"/>
              <w:rPr>
                <w:sz w:val="12"/>
                <w:szCs w:val="12"/>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(5,002)</w:t>
            </w:r>
          </w:p>
        </w:tc>
        <w:tc>
          <w:tcPr>
            <w:tcW w:w="140" w:type="dxa"/>
            <w:vAlign w:val="bottom"/>
          </w:tcPr>
          <w:p>
            <w:pPr>
              <w:spacing w:after="0"/>
              <w:rPr>
                <w:sz w:val="12"/>
                <w:szCs w:val="12"/>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(30,267)</w:t>
            </w:r>
          </w:p>
        </w:tc>
        <w:tc>
          <w:tcPr>
            <w:tcW w:w="120" w:type="dxa"/>
            <w:vAlign w:val="bottom"/>
          </w:tcPr>
          <w:p>
            <w:pPr>
              <w:spacing w:after="0"/>
              <w:rPr>
                <w:sz w:val="12"/>
                <w:szCs w:val="12"/>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(27,922)</w:t>
            </w:r>
          </w:p>
        </w:tc>
        <w:tc>
          <w:tcPr>
            <w:tcW w:w="120" w:type="dxa"/>
            <w:vAlign w:val="bottom"/>
          </w:tcPr>
          <w:p>
            <w:pPr>
              <w:spacing w:after="0"/>
              <w:rPr>
                <w:sz w:val="12"/>
                <w:szCs w:val="12"/>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(5,628)</w:t>
            </w:r>
          </w:p>
        </w:tc>
        <w:tc>
          <w:tcPr>
            <w:tcW w:w="160" w:type="dxa"/>
            <w:vAlign w:val="bottom"/>
          </w:tcPr>
          <w:p>
            <w:pPr>
              <w:spacing w:after="0"/>
              <w:rPr>
                <w:sz w:val="12"/>
                <w:szCs w:val="12"/>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(33,550)</w:t>
            </w:r>
          </w:p>
        </w:tc>
      </w:tr>
      <w:tr>
        <w:trPr>
          <w:trHeight w:val="144"/>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Income tax expense</w:t>
            </w:r>
          </w:p>
        </w:tc>
        <w:tc>
          <w:tcPr>
            <w:tcW w:w="160" w:type="dxa"/>
            <w:vAlign w:val="bottom"/>
            <w:shd w:val="clear" w:color="auto" w:fill="CCEEFF"/>
          </w:tcPr>
          <w:p>
            <w:pPr>
              <w:spacing w:after="0"/>
              <w:rPr>
                <w:sz w:val="12"/>
                <w:szCs w:val="12"/>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72</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72</w:t>
            </w:r>
          </w:p>
        </w:tc>
        <w:tc>
          <w:tcPr>
            <w:tcW w:w="12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21</w:t>
            </w:r>
          </w:p>
        </w:tc>
        <w:tc>
          <w:tcPr>
            <w:tcW w:w="12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21</w:t>
            </w:r>
          </w:p>
        </w:tc>
      </w:tr>
      <w:tr>
        <w:trPr>
          <w:trHeight w:val="20"/>
        </w:trPr>
        <w:tc>
          <w:tcPr>
            <w:tcW w:w="32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42"/>
        </w:trPr>
        <w:tc>
          <w:tcPr>
            <w:tcW w:w="328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Net loss</w:t>
            </w:r>
          </w:p>
        </w:tc>
        <w:tc>
          <w:tcPr>
            <w:tcW w:w="1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(25,337)</w:t>
            </w:r>
          </w:p>
        </w:tc>
        <w:tc>
          <w:tcPr>
            <w:tcW w:w="1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(5,002)</w:t>
            </w:r>
          </w:p>
        </w:tc>
        <w:tc>
          <w:tcPr>
            <w:tcW w:w="1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(30,339)</w:t>
            </w:r>
          </w:p>
        </w:tc>
        <w:tc>
          <w:tcPr>
            <w:tcW w:w="1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(27,943)</w:t>
            </w:r>
          </w:p>
        </w:tc>
        <w:tc>
          <w:tcPr>
            <w:tcW w:w="1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(5,628)</w:t>
            </w:r>
          </w:p>
        </w:tc>
        <w:tc>
          <w:tcPr>
            <w:tcW w:w="1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(33,571)</w:t>
            </w:r>
          </w:p>
        </w:tc>
      </w:tr>
      <w:tr>
        <w:trPr>
          <w:trHeight w:val="20"/>
        </w:trPr>
        <w:tc>
          <w:tcPr>
            <w:tcW w:w="3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20"/>
        </w:trPr>
        <w:tc>
          <w:tcPr>
            <w:tcW w:w="32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00" w:type="dxa"/>
            <w:vAlign w:val="bottom"/>
            <w:tcBorders>
              <w:right w:val="single" w:sz="8" w:color="CCEEFF"/>
            </w:tcBorders>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r>
      <w:tr>
        <w:trPr>
          <w:trHeight w:val="144"/>
        </w:trPr>
        <w:tc>
          <w:tcPr>
            <w:tcW w:w="3280" w:type="dxa"/>
            <w:vAlign w:val="bottom"/>
          </w:tcPr>
          <w:p>
            <w:pPr>
              <w:spacing w:after="0"/>
              <w:rPr>
                <w:sz w:val="20"/>
                <w:szCs w:val="20"/>
                <w:color w:val="auto"/>
              </w:rPr>
            </w:pPr>
            <w:r>
              <w:rPr>
                <w:rFonts w:ascii="Times New Roman" w:cs="Times New Roman" w:eastAsia="Times New Roman" w:hAnsi="Times New Roman"/>
                <w:sz w:val="12"/>
                <w:szCs w:val="12"/>
                <w:color w:val="auto"/>
              </w:rPr>
              <w:t>Loss per share</w:t>
            </w: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32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Basic</w:t>
            </w:r>
          </w:p>
        </w:tc>
        <w:tc>
          <w:tcPr>
            <w:tcW w:w="16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(0.61)</w:t>
            </w: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(0.73)</w:t>
            </w:r>
          </w:p>
        </w:tc>
        <w:tc>
          <w:tcPr>
            <w:tcW w:w="12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(0.68)</w:t>
            </w: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(0.82)</w:t>
            </w:r>
          </w:p>
        </w:tc>
      </w:tr>
      <w:tr>
        <w:trPr>
          <w:trHeight w:val="144"/>
        </w:trPr>
        <w:tc>
          <w:tcPr>
            <w:tcW w:w="328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Diluted</w:t>
            </w:r>
          </w:p>
        </w:tc>
        <w:tc>
          <w:tcPr>
            <w:tcW w:w="1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(0.61)</w:t>
            </w: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(0.73)</w:t>
            </w:r>
          </w:p>
        </w:tc>
        <w:tc>
          <w:tcPr>
            <w:tcW w:w="1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(0.68)</w:t>
            </w: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(0.82)</w:t>
            </w:r>
          </w:p>
        </w:tc>
      </w:tr>
      <w:tr>
        <w:trPr>
          <w:trHeight w:val="144"/>
        </w:trPr>
        <w:tc>
          <w:tcPr>
            <w:tcW w:w="3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0" w:type="dxa"/>
            <w:vAlign w:val="bottom"/>
            <w:tcBorders>
              <w:right w:val="single" w:sz="8" w:color="CCEEFF"/>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4"/>
        </w:trPr>
        <w:tc>
          <w:tcPr>
            <w:tcW w:w="3280" w:type="dxa"/>
            <w:vAlign w:val="bottom"/>
          </w:tcPr>
          <w:p>
            <w:pPr>
              <w:spacing w:after="0"/>
              <w:rPr>
                <w:sz w:val="20"/>
                <w:szCs w:val="20"/>
                <w:color w:val="auto"/>
              </w:rPr>
            </w:pPr>
            <w:r>
              <w:rPr>
                <w:rFonts w:ascii="Times New Roman" w:cs="Times New Roman" w:eastAsia="Times New Roman" w:hAnsi="Times New Roman"/>
                <w:sz w:val="12"/>
                <w:szCs w:val="12"/>
                <w:color w:val="auto"/>
              </w:rPr>
              <w:t>Weighted average shares outstanding</w:t>
            </w: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32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Basic</w:t>
            </w:r>
          </w:p>
        </w:tc>
        <w:tc>
          <w:tcPr>
            <w:tcW w:w="16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41,467</w:t>
            </w: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41,467</w:t>
            </w:r>
          </w:p>
        </w:tc>
        <w:tc>
          <w:tcPr>
            <w:tcW w:w="12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40,809</w:t>
            </w: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40,809</w:t>
            </w:r>
          </w:p>
        </w:tc>
      </w:tr>
      <w:tr>
        <w:trPr>
          <w:trHeight w:val="155"/>
        </w:trPr>
        <w:tc>
          <w:tcPr>
            <w:tcW w:w="328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Diluted</w:t>
            </w:r>
          </w:p>
        </w:tc>
        <w:tc>
          <w:tcPr>
            <w:tcW w:w="160" w:type="dxa"/>
            <w:vAlign w:val="bottom"/>
          </w:tcPr>
          <w:p>
            <w:pPr>
              <w:spacing w:after="0"/>
              <w:rPr>
                <w:sz w:val="13"/>
                <w:szCs w:val="13"/>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41,467</w:t>
            </w: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41,467</w:t>
            </w:r>
          </w:p>
        </w:tc>
        <w:tc>
          <w:tcPr>
            <w:tcW w:w="120" w:type="dxa"/>
            <w:vAlign w:val="bottom"/>
          </w:tcPr>
          <w:p>
            <w:pPr>
              <w:spacing w:after="0"/>
              <w:rPr>
                <w:sz w:val="13"/>
                <w:szCs w:val="13"/>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40,809</w:t>
            </w: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40,809</w:t>
            </w:r>
          </w:p>
        </w:tc>
      </w:tr>
    </w:tbl>
    <w:p>
      <w:pPr>
        <w:spacing w:after="0" w:line="122" w:lineRule="exact"/>
        <w:rPr>
          <w:sz w:val="20"/>
          <w:szCs w:val="20"/>
          <w:color w:val="auto"/>
        </w:rPr>
      </w:pPr>
    </w:p>
    <w:p>
      <w:pPr>
        <w:ind w:left="8" w:right="260" w:hanging="8"/>
        <w:spacing w:after="0" w:line="279" w:lineRule="auto"/>
        <w:tabs>
          <w:tab w:leader="none" w:pos="208"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Reflects the Company's US GAAP consolidated financial statements before pro forma adjustments related to the sale of the Dialysis and BioSentry Businesses on June 8, 2023, the sale of the PICCs and Midlines Businesses on February 15, 2024 and the discontinuation of the RadioFrequency Ablation and Syntrax products ("the Businesses") as of February 29, 2024, for the nine months ended February 28, 2026 and February 28, 2025.</w:t>
      </w:r>
    </w:p>
    <w:p>
      <w:pPr>
        <w:spacing w:after="0" w:line="111" w:lineRule="exact"/>
        <w:rPr>
          <w:rFonts w:ascii="Times New Roman" w:cs="Times New Roman" w:eastAsia="Times New Roman" w:hAnsi="Times New Roman"/>
          <w:sz w:val="12"/>
          <w:szCs w:val="12"/>
          <w:color w:val="auto"/>
        </w:rPr>
      </w:pPr>
    </w:p>
    <w:p>
      <w:pPr>
        <w:ind w:left="168" w:hanging="168"/>
        <w:spacing w:after="0"/>
        <w:tabs>
          <w:tab w:leader="none" w:pos="168"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Reflects the elimination of revenues and expenses representing the operating results from the sales and discontinuation of the Businesses.</w:t>
      </w:r>
    </w:p>
    <w:p>
      <w:pPr>
        <w:spacing w:after="0" w:line="263"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0"/>
          <w:szCs w:val="1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21590</wp:posOffset>
            </wp:positionV>
            <wp:extent cx="7178040" cy="114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8"/>
          </w:cols>
          <w:pgMar w:left="292" w:top="125" w:right="299" w:bottom="1440" w:gutter="0" w:footer="0" w:header="0"/>
        </w:sectPr>
      </w:pPr>
    </w:p>
    <w:bookmarkStart w:id="11" w:name="page12"/>
    <w:bookmarkEnd w:id="11"/>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ANGIODYNAMICS, INC. AND SUBSIDIARIES</w:t>
      </w:r>
    </w:p>
    <w:p>
      <w:pPr>
        <w:spacing w:after="0" w:line="2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GAAP TO NON-GAAP RECONCILIATION</w:t>
      </w:r>
    </w:p>
    <w:p>
      <w:pPr>
        <w:spacing w:after="0" w:line="6"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(in thousands, except per share data)</w:t>
      </w:r>
    </w:p>
    <w:p>
      <w:pPr>
        <w:spacing w:after="0" w:line="135" w:lineRule="exact"/>
        <w:rPr>
          <w:sz w:val="20"/>
          <w:szCs w:val="20"/>
          <w:color w:val="auto"/>
        </w:rPr>
      </w:pPr>
    </w:p>
    <w:tbl>
      <w:tblPr>
        <w:tblLayout w:type="fixed"/>
        <w:tblInd w:w="8" w:type="dxa"/>
        <w:tblCellMar>
          <w:top w:w="0" w:type="dxa"/>
          <w:left w:w="0" w:type="dxa"/>
          <w:bottom w:w="0" w:type="dxa"/>
          <w:right w:w="0" w:type="dxa"/>
        </w:tblCellMar>
      </w:tblPr>
      <w:tr>
        <w:trPr>
          <w:trHeight w:val="159"/>
        </w:trPr>
        <w:tc>
          <w:tcPr>
            <w:tcW w:w="6040" w:type="dxa"/>
            <w:vAlign w:val="bottom"/>
            <w:gridSpan w:val="7"/>
          </w:tcPr>
          <w:p>
            <w:pPr>
              <w:spacing w:after="0"/>
              <w:rPr>
                <w:sz w:val="20"/>
                <w:szCs w:val="20"/>
                <w:color w:val="auto"/>
              </w:rPr>
            </w:pPr>
            <w:r>
              <w:rPr>
                <w:rFonts w:ascii="Times New Roman" w:cs="Times New Roman" w:eastAsia="Times New Roman" w:hAnsi="Times New Roman"/>
                <w:sz w:val="12"/>
                <w:szCs w:val="12"/>
                <w:b w:val="1"/>
                <w:bCs w:val="1"/>
                <w:color w:val="auto"/>
              </w:rPr>
              <w:t>Reconciliation of Net Loss to non-GAAP Adjusted Net Income (Loss) and Pro Forma Adjusted Net Loss:</w:t>
            </w: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88"/>
        </w:trPr>
        <w:tc>
          <w:tcPr>
            <w:tcW w:w="32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gridSpan w:val="5"/>
          </w:tcPr>
          <w:p>
            <w:pPr>
              <w:jc w:val="right"/>
              <w:ind w:right="980"/>
              <w:spacing w:after="0"/>
              <w:rPr>
                <w:sz w:val="20"/>
                <w:szCs w:val="20"/>
                <w:color w:val="auto"/>
              </w:rPr>
            </w:pPr>
            <w:r>
              <w:rPr>
                <w:rFonts w:ascii="Times New Roman" w:cs="Times New Roman" w:eastAsia="Times New Roman" w:hAnsi="Times New Roman"/>
                <w:sz w:val="12"/>
                <w:szCs w:val="12"/>
                <w:color w:val="auto"/>
              </w:rPr>
              <w:t>Three Months Ended</w:t>
            </w: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24"/>
        </w:trPr>
        <w:tc>
          <w:tcPr>
            <w:tcW w:w="32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60" w:type="dxa"/>
            <w:vAlign w:val="bottom"/>
            <w:gridSpan w:val="2"/>
          </w:tcPr>
          <w:p>
            <w:pPr>
              <w:jc w:val="center"/>
              <w:ind w:right="360"/>
              <w:spacing w:after="0" w:line="124" w:lineRule="exact"/>
              <w:rPr>
                <w:sz w:val="20"/>
                <w:szCs w:val="20"/>
                <w:color w:val="auto"/>
              </w:rPr>
            </w:pPr>
            <w:r>
              <w:rPr>
                <w:rFonts w:ascii="Times New Roman" w:cs="Times New Roman" w:eastAsia="Times New Roman" w:hAnsi="Times New Roman"/>
                <w:sz w:val="12"/>
                <w:szCs w:val="12"/>
                <w:color w:val="auto"/>
                <w:w w:val="97"/>
              </w:rPr>
              <w:t>Pro Forma</w:t>
            </w:r>
          </w:p>
        </w:tc>
        <w:tc>
          <w:tcPr>
            <w:tcW w:w="1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20" w:type="dxa"/>
            <w:vAlign w:val="bottom"/>
            <w:gridSpan w:val="2"/>
          </w:tcPr>
          <w:p>
            <w:pPr>
              <w:jc w:val="center"/>
              <w:ind w:right="340"/>
              <w:spacing w:after="0" w:line="124" w:lineRule="exact"/>
              <w:rPr>
                <w:sz w:val="20"/>
                <w:szCs w:val="20"/>
                <w:color w:val="auto"/>
              </w:rPr>
            </w:pPr>
            <w:r>
              <w:rPr>
                <w:rFonts w:ascii="Times New Roman" w:cs="Times New Roman" w:eastAsia="Times New Roman" w:hAnsi="Times New Roman"/>
                <w:sz w:val="12"/>
                <w:szCs w:val="12"/>
                <w:color w:val="auto"/>
              </w:rPr>
              <w:t>Pro Forma</w:t>
            </w:r>
          </w:p>
        </w:tc>
        <w:tc>
          <w:tcPr>
            <w:tcW w:w="1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51"/>
        </w:trPr>
        <w:tc>
          <w:tcPr>
            <w:tcW w:w="3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gridSpan w:val="2"/>
          </w:tcPr>
          <w:p>
            <w:pPr>
              <w:jc w:val="center"/>
              <w:ind w:right="400"/>
              <w:spacing w:after="0" w:line="151" w:lineRule="exact"/>
              <w:rPr>
                <w:sz w:val="20"/>
                <w:szCs w:val="20"/>
                <w:color w:val="auto"/>
              </w:rPr>
            </w:pPr>
            <w:r>
              <w:rPr>
                <w:rFonts w:ascii="Times New Roman" w:cs="Times New Roman" w:eastAsia="Times New Roman" w:hAnsi="Times New Roman"/>
                <w:sz w:val="11"/>
                <w:szCs w:val="11"/>
                <w:color w:val="auto"/>
                <w:w w:val="98"/>
              </w:rPr>
              <w:t>Actual</w:t>
            </w:r>
            <w:r>
              <w:rPr>
                <w:rFonts w:ascii="Times New Roman" w:cs="Times New Roman" w:eastAsia="Times New Roman" w:hAnsi="Times New Roman"/>
                <w:sz w:val="17"/>
                <w:szCs w:val="17"/>
                <w:color w:val="auto"/>
                <w:w w:val="98"/>
                <w:vertAlign w:val="superscript"/>
              </w:rPr>
              <w:t>(1)</w:t>
            </w:r>
          </w:p>
        </w:tc>
        <w:tc>
          <w:tcPr>
            <w:tcW w:w="120" w:type="dxa"/>
            <w:vAlign w:val="bottom"/>
          </w:tcPr>
          <w:p>
            <w:pPr>
              <w:spacing w:after="0"/>
              <w:rPr>
                <w:sz w:val="13"/>
                <w:szCs w:val="13"/>
                <w:color w:val="auto"/>
              </w:rPr>
            </w:pPr>
          </w:p>
        </w:tc>
        <w:tc>
          <w:tcPr>
            <w:tcW w:w="1260" w:type="dxa"/>
            <w:vAlign w:val="bottom"/>
            <w:gridSpan w:val="2"/>
          </w:tcPr>
          <w:p>
            <w:pPr>
              <w:jc w:val="center"/>
              <w:ind w:right="360"/>
              <w:spacing w:after="0" w:line="151" w:lineRule="exact"/>
              <w:rPr>
                <w:sz w:val="20"/>
                <w:szCs w:val="20"/>
                <w:color w:val="auto"/>
              </w:rPr>
            </w:pPr>
            <w:r>
              <w:rPr>
                <w:rFonts w:ascii="Times New Roman" w:cs="Times New Roman" w:eastAsia="Times New Roman" w:hAnsi="Times New Roman"/>
                <w:sz w:val="11"/>
                <w:szCs w:val="11"/>
                <w:color w:val="auto"/>
              </w:rPr>
              <w:t xml:space="preserve">Adjustments </w:t>
            </w:r>
            <w:r>
              <w:rPr>
                <w:rFonts w:ascii="Times New Roman" w:cs="Times New Roman" w:eastAsia="Times New Roman" w:hAnsi="Times New Roman"/>
                <w:sz w:val="17"/>
                <w:szCs w:val="17"/>
                <w:color w:val="auto"/>
                <w:vertAlign w:val="superscript"/>
              </w:rPr>
              <w:t>(2)</w:t>
            </w:r>
          </w:p>
        </w:tc>
        <w:tc>
          <w:tcPr>
            <w:tcW w:w="140" w:type="dxa"/>
            <w:vAlign w:val="bottom"/>
          </w:tcPr>
          <w:p>
            <w:pPr>
              <w:spacing w:after="0"/>
              <w:rPr>
                <w:sz w:val="13"/>
                <w:szCs w:val="13"/>
                <w:color w:val="auto"/>
              </w:rPr>
            </w:pPr>
          </w:p>
        </w:tc>
        <w:tc>
          <w:tcPr>
            <w:tcW w:w="1200" w:type="dxa"/>
            <w:vAlign w:val="bottom"/>
            <w:gridSpan w:val="2"/>
          </w:tcPr>
          <w:p>
            <w:pPr>
              <w:jc w:val="center"/>
              <w:ind w:right="360"/>
              <w:spacing w:after="0"/>
              <w:rPr>
                <w:sz w:val="20"/>
                <w:szCs w:val="20"/>
                <w:color w:val="auto"/>
              </w:rPr>
            </w:pPr>
            <w:r>
              <w:rPr>
                <w:rFonts w:ascii="Times New Roman" w:cs="Times New Roman" w:eastAsia="Times New Roman" w:hAnsi="Times New Roman"/>
                <w:sz w:val="12"/>
                <w:szCs w:val="12"/>
                <w:color w:val="auto"/>
              </w:rPr>
              <w:t>Pro Forma</w:t>
            </w:r>
          </w:p>
        </w:tc>
        <w:tc>
          <w:tcPr>
            <w:tcW w:w="120" w:type="dxa"/>
            <w:vAlign w:val="bottom"/>
          </w:tcPr>
          <w:p>
            <w:pPr>
              <w:spacing w:after="0"/>
              <w:rPr>
                <w:sz w:val="13"/>
                <w:szCs w:val="13"/>
                <w:color w:val="auto"/>
              </w:rPr>
            </w:pPr>
          </w:p>
        </w:tc>
        <w:tc>
          <w:tcPr>
            <w:tcW w:w="1220" w:type="dxa"/>
            <w:vAlign w:val="bottom"/>
            <w:gridSpan w:val="2"/>
          </w:tcPr>
          <w:p>
            <w:pPr>
              <w:jc w:val="center"/>
              <w:ind w:right="320"/>
              <w:spacing w:after="0" w:line="151" w:lineRule="exact"/>
              <w:rPr>
                <w:sz w:val="20"/>
                <w:szCs w:val="20"/>
                <w:color w:val="auto"/>
              </w:rPr>
            </w:pPr>
            <w:r>
              <w:rPr>
                <w:rFonts w:ascii="Times New Roman" w:cs="Times New Roman" w:eastAsia="Times New Roman" w:hAnsi="Times New Roman"/>
                <w:sz w:val="11"/>
                <w:szCs w:val="11"/>
                <w:color w:val="auto"/>
              </w:rPr>
              <w:t xml:space="preserve">As Reported </w:t>
            </w:r>
            <w:r>
              <w:rPr>
                <w:rFonts w:ascii="Times New Roman" w:cs="Times New Roman" w:eastAsia="Times New Roman" w:hAnsi="Times New Roman"/>
                <w:sz w:val="17"/>
                <w:szCs w:val="17"/>
                <w:color w:val="auto"/>
                <w:vertAlign w:val="superscript"/>
              </w:rPr>
              <w:t>(1)</w:t>
            </w:r>
          </w:p>
        </w:tc>
        <w:tc>
          <w:tcPr>
            <w:tcW w:w="120" w:type="dxa"/>
            <w:vAlign w:val="bottom"/>
          </w:tcPr>
          <w:p>
            <w:pPr>
              <w:spacing w:after="0"/>
              <w:rPr>
                <w:sz w:val="13"/>
                <w:szCs w:val="13"/>
                <w:color w:val="auto"/>
              </w:rPr>
            </w:pPr>
          </w:p>
        </w:tc>
        <w:tc>
          <w:tcPr>
            <w:tcW w:w="1220" w:type="dxa"/>
            <w:vAlign w:val="bottom"/>
            <w:gridSpan w:val="2"/>
          </w:tcPr>
          <w:p>
            <w:pPr>
              <w:jc w:val="center"/>
              <w:ind w:right="320"/>
              <w:spacing w:after="0" w:line="151" w:lineRule="exact"/>
              <w:rPr>
                <w:sz w:val="20"/>
                <w:szCs w:val="20"/>
                <w:color w:val="auto"/>
              </w:rPr>
            </w:pPr>
            <w:r>
              <w:rPr>
                <w:rFonts w:ascii="Times New Roman" w:cs="Times New Roman" w:eastAsia="Times New Roman" w:hAnsi="Times New Roman"/>
                <w:sz w:val="11"/>
                <w:szCs w:val="11"/>
                <w:color w:val="auto"/>
              </w:rPr>
              <w:t xml:space="preserve">Adjustments </w:t>
            </w:r>
            <w:r>
              <w:rPr>
                <w:rFonts w:ascii="Times New Roman" w:cs="Times New Roman" w:eastAsia="Times New Roman" w:hAnsi="Times New Roman"/>
                <w:sz w:val="17"/>
                <w:szCs w:val="17"/>
                <w:color w:val="auto"/>
                <w:vertAlign w:val="superscript"/>
              </w:rPr>
              <w:t>(2)</w:t>
            </w:r>
          </w:p>
        </w:tc>
        <w:tc>
          <w:tcPr>
            <w:tcW w:w="160" w:type="dxa"/>
            <w:vAlign w:val="bottom"/>
          </w:tcPr>
          <w:p>
            <w:pPr>
              <w:spacing w:after="0"/>
              <w:rPr>
                <w:sz w:val="13"/>
                <w:szCs w:val="13"/>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2"/>
                <w:szCs w:val="12"/>
                <w:color w:val="auto"/>
                <w:w w:val="97"/>
              </w:rPr>
              <w:t>Pro Forma</w:t>
            </w:r>
          </w:p>
        </w:tc>
      </w:tr>
      <w:tr>
        <w:trPr>
          <w:trHeight w:val="155"/>
        </w:trPr>
        <w:tc>
          <w:tcPr>
            <w:tcW w:w="3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gridSpan w:val="2"/>
          </w:tcPr>
          <w:p>
            <w:pPr>
              <w:jc w:val="center"/>
              <w:ind w:right="400"/>
              <w:spacing w:after="0"/>
              <w:rPr>
                <w:sz w:val="20"/>
                <w:szCs w:val="20"/>
                <w:color w:val="auto"/>
              </w:rPr>
            </w:pPr>
            <w:r>
              <w:rPr>
                <w:rFonts w:ascii="Times New Roman" w:cs="Times New Roman" w:eastAsia="Times New Roman" w:hAnsi="Times New Roman"/>
                <w:sz w:val="12"/>
                <w:szCs w:val="12"/>
                <w:color w:val="auto"/>
                <w:w w:val="98"/>
              </w:rPr>
              <w:t>Feb 28, 2026</w:t>
            </w:r>
          </w:p>
        </w:tc>
        <w:tc>
          <w:tcPr>
            <w:tcW w:w="120" w:type="dxa"/>
            <w:vAlign w:val="bottom"/>
          </w:tcPr>
          <w:p>
            <w:pPr>
              <w:spacing w:after="0"/>
              <w:rPr>
                <w:sz w:val="13"/>
                <w:szCs w:val="13"/>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2"/>
                <w:szCs w:val="12"/>
                <w:color w:val="auto"/>
                <w:w w:val="98"/>
              </w:rPr>
              <w:t>Feb 28, 2026</w:t>
            </w:r>
          </w:p>
        </w:tc>
        <w:tc>
          <w:tcPr>
            <w:tcW w:w="140" w:type="dxa"/>
            <w:vAlign w:val="bottom"/>
          </w:tcPr>
          <w:p>
            <w:pPr>
              <w:spacing w:after="0"/>
              <w:rPr>
                <w:sz w:val="13"/>
                <w:szCs w:val="13"/>
                <w:color w:val="auto"/>
              </w:rPr>
            </w:pPr>
          </w:p>
        </w:tc>
        <w:tc>
          <w:tcPr>
            <w:tcW w:w="1200" w:type="dxa"/>
            <w:vAlign w:val="bottom"/>
            <w:gridSpan w:val="2"/>
          </w:tcPr>
          <w:p>
            <w:pPr>
              <w:jc w:val="center"/>
              <w:ind w:right="360"/>
              <w:spacing w:after="0"/>
              <w:rPr>
                <w:sz w:val="20"/>
                <w:szCs w:val="20"/>
                <w:color w:val="auto"/>
              </w:rPr>
            </w:pPr>
            <w:r>
              <w:rPr>
                <w:rFonts w:ascii="Times New Roman" w:cs="Times New Roman" w:eastAsia="Times New Roman" w:hAnsi="Times New Roman"/>
                <w:sz w:val="12"/>
                <w:szCs w:val="12"/>
                <w:color w:val="auto"/>
              </w:rPr>
              <w:t>Feb 28, 2026</w:t>
            </w:r>
          </w:p>
        </w:tc>
        <w:tc>
          <w:tcPr>
            <w:tcW w:w="120" w:type="dxa"/>
            <w:vAlign w:val="bottom"/>
          </w:tcPr>
          <w:p>
            <w:pPr>
              <w:spacing w:after="0"/>
              <w:rPr>
                <w:sz w:val="13"/>
                <w:szCs w:val="13"/>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2"/>
                <w:szCs w:val="12"/>
                <w:color w:val="auto"/>
              </w:rPr>
              <w:t>Feb 28, 2025</w:t>
            </w:r>
          </w:p>
        </w:tc>
        <w:tc>
          <w:tcPr>
            <w:tcW w:w="120" w:type="dxa"/>
            <w:vAlign w:val="bottom"/>
          </w:tcPr>
          <w:p>
            <w:pPr>
              <w:spacing w:after="0"/>
              <w:rPr>
                <w:sz w:val="13"/>
                <w:szCs w:val="13"/>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2"/>
                <w:szCs w:val="12"/>
                <w:color w:val="auto"/>
              </w:rPr>
              <w:t>Feb 28, 2025</w:t>
            </w:r>
          </w:p>
        </w:tc>
        <w:tc>
          <w:tcPr>
            <w:tcW w:w="160" w:type="dxa"/>
            <w:vAlign w:val="bottom"/>
          </w:tcPr>
          <w:p>
            <w:pPr>
              <w:spacing w:after="0"/>
              <w:rPr>
                <w:sz w:val="13"/>
                <w:szCs w:val="13"/>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2"/>
                <w:szCs w:val="12"/>
                <w:color w:val="auto"/>
                <w:w w:val="98"/>
              </w:rPr>
              <w:t>Feb 28, 2025</w:t>
            </w:r>
          </w:p>
        </w:tc>
      </w:tr>
      <w:tr>
        <w:trPr>
          <w:trHeight w:val="153"/>
        </w:trPr>
        <w:tc>
          <w:tcPr>
            <w:tcW w:w="328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jc w:val="center"/>
              <w:ind w:right="81"/>
              <w:spacing w:after="0"/>
              <w:rPr>
                <w:sz w:val="20"/>
                <w:szCs w:val="20"/>
                <w:color w:val="auto"/>
              </w:rPr>
            </w:pPr>
            <w:r>
              <w:rPr>
                <w:rFonts w:ascii="Times New Roman" w:cs="Times New Roman" w:eastAsia="Times New Roman" w:hAnsi="Times New Roman"/>
                <w:sz w:val="12"/>
                <w:szCs w:val="12"/>
                <w:color w:val="auto"/>
              </w:rPr>
              <w:t>(unaudited)</w:t>
            </w:r>
          </w:p>
        </w:tc>
        <w:tc>
          <w:tcPr>
            <w:tcW w:w="24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jc w:val="center"/>
              <w:ind w:right="61"/>
              <w:spacing w:after="0"/>
              <w:rPr>
                <w:sz w:val="20"/>
                <w:szCs w:val="20"/>
                <w:color w:val="auto"/>
              </w:rPr>
            </w:pPr>
            <w:r>
              <w:rPr>
                <w:rFonts w:ascii="Times New Roman" w:cs="Times New Roman" w:eastAsia="Times New Roman" w:hAnsi="Times New Roman"/>
                <w:sz w:val="12"/>
                <w:szCs w:val="12"/>
                <w:color w:val="auto"/>
              </w:rPr>
              <w:t>(unaudited)</w:t>
            </w:r>
          </w:p>
        </w:tc>
        <w:tc>
          <w:tcPr>
            <w:tcW w:w="2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33"/>
        </w:trPr>
        <w:tc>
          <w:tcPr>
            <w:tcW w:w="3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gridSpan w:val="2"/>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2"/>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2"/>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gridSpan w:val="2"/>
          </w:tcPr>
          <w:p>
            <w:pPr>
              <w:spacing w:after="0"/>
              <w:rPr>
                <w:sz w:val="11"/>
                <w:szCs w:val="11"/>
                <w:color w:val="auto"/>
              </w:rPr>
            </w:pPr>
          </w:p>
        </w:tc>
      </w:tr>
      <w:tr>
        <w:trPr>
          <w:trHeight w:val="144"/>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Net loss</w:t>
            </w:r>
          </w:p>
        </w:tc>
        <w:tc>
          <w:tcPr>
            <w:tcW w:w="16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(8,084)</w:t>
            </w:r>
          </w:p>
        </w:tc>
        <w:tc>
          <w:tcPr>
            <w:tcW w:w="12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(5,002)</w:t>
            </w:r>
          </w:p>
        </w:tc>
        <w:tc>
          <w:tcPr>
            <w:tcW w:w="14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(13,086)</w:t>
            </w:r>
          </w:p>
        </w:tc>
        <w:tc>
          <w:tcPr>
            <w:tcW w:w="12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(4,407)</w:t>
            </w:r>
          </w:p>
        </w:tc>
        <w:tc>
          <w:tcPr>
            <w:tcW w:w="12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(5,494)</w:t>
            </w:r>
          </w:p>
        </w:tc>
        <w:tc>
          <w:tcPr>
            <w:tcW w:w="16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(9,901)</w:t>
            </w:r>
          </w:p>
        </w:tc>
      </w:tr>
      <w:tr>
        <w:trPr>
          <w:trHeight w:val="144"/>
        </w:trPr>
        <w:tc>
          <w:tcPr>
            <w:tcW w:w="3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spacing w:after="0"/>
              <w:rPr>
                <w:sz w:val="12"/>
                <w:szCs w:val="12"/>
                <w:color w:val="auto"/>
              </w:rPr>
            </w:pPr>
          </w:p>
        </w:tc>
      </w:tr>
      <w:tr>
        <w:trPr>
          <w:trHeight w:val="144"/>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Amortization of intangibles</w:t>
            </w:r>
          </w:p>
        </w:tc>
        <w:tc>
          <w:tcPr>
            <w:tcW w:w="16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2,668</w:t>
            </w: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2,668</w:t>
            </w:r>
          </w:p>
        </w:tc>
        <w:tc>
          <w:tcPr>
            <w:tcW w:w="12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2,598</w:t>
            </w:r>
          </w:p>
        </w:tc>
        <w:tc>
          <w:tcPr>
            <w:tcW w:w="12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2,598</w:t>
            </w:r>
          </w:p>
        </w:tc>
      </w:tr>
      <w:tr>
        <w:trPr>
          <w:trHeight w:val="144"/>
        </w:trPr>
        <w:tc>
          <w:tcPr>
            <w:tcW w:w="3280" w:type="dxa"/>
            <w:vAlign w:val="bottom"/>
          </w:tcPr>
          <w:p>
            <w:pPr>
              <w:spacing w:after="0"/>
              <w:rPr>
                <w:sz w:val="20"/>
                <w:szCs w:val="20"/>
                <w:color w:val="auto"/>
              </w:rPr>
            </w:pPr>
            <w:r>
              <w:rPr>
                <w:rFonts w:ascii="Times New Roman" w:cs="Times New Roman" w:eastAsia="Times New Roman" w:hAnsi="Times New Roman"/>
                <w:sz w:val="12"/>
                <w:szCs w:val="12"/>
                <w:color w:val="auto"/>
              </w:rPr>
              <w:t>Change in fair value of contingent consideration</w:t>
            </w:r>
          </w:p>
        </w:tc>
        <w:tc>
          <w:tcPr>
            <w:tcW w:w="160" w:type="dxa"/>
            <w:vAlign w:val="bottom"/>
          </w:tcPr>
          <w:p>
            <w:pPr>
              <w:spacing w:after="0"/>
              <w:rPr>
                <w:sz w:val="12"/>
                <w:szCs w:val="12"/>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2"/>
                <w:szCs w:val="12"/>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2"/>
                <w:szCs w:val="12"/>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2"/>
                <w:szCs w:val="12"/>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40</w:t>
            </w:r>
          </w:p>
        </w:tc>
        <w:tc>
          <w:tcPr>
            <w:tcW w:w="120" w:type="dxa"/>
            <w:vAlign w:val="bottom"/>
          </w:tcPr>
          <w:p>
            <w:pPr>
              <w:spacing w:after="0"/>
              <w:rPr>
                <w:sz w:val="12"/>
                <w:szCs w:val="12"/>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2"/>
                <w:szCs w:val="12"/>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40</w:t>
            </w:r>
          </w:p>
        </w:tc>
      </w:tr>
      <w:tr>
        <w:trPr>
          <w:trHeight w:val="144"/>
        </w:trPr>
        <w:tc>
          <w:tcPr>
            <w:tcW w:w="3280" w:type="dxa"/>
            <w:vAlign w:val="bottom"/>
            <w:shd w:val="clear" w:color="auto" w:fill="CCEEFF"/>
          </w:tcPr>
          <w:p>
            <w:pPr>
              <w:spacing w:after="0" w:line="144" w:lineRule="exact"/>
              <w:rPr>
                <w:sz w:val="20"/>
                <w:szCs w:val="20"/>
                <w:color w:val="auto"/>
              </w:rPr>
            </w:pPr>
            <w:r>
              <w:rPr>
                <w:rFonts w:ascii="Times New Roman" w:cs="Times New Roman" w:eastAsia="Times New Roman" w:hAnsi="Times New Roman"/>
                <w:sz w:val="10"/>
                <w:szCs w:val="10"/>
                <w:color w:val="auto"/>
              </w:rPr>
              <w:t xml:space="preserve">Acquisition, restructuring and other items, net </w:t>
            </w:r>
            <w:r>
              <w:rPr>
                <w:rFonts w:ascii="Times New Roman" w:cs="Times New Roman" w:eastAsia="Times New Roman" w:hAnsi="Times New Roman"/>
                <w:sz w:val="16"/>
                <w:szCs w:val="16"/>
                <w:color w:val="auto"/>
                <w:vertAlign w:val="superscript"/>
              </w:rPr>
              <w:t>(3)</w:t>
            </w:r>
          </w:p>
        </w:tc>
        <w:tc>
          <w:tcPr>
            <w:tcW w:w="16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6,522</w:t>
            </w: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6,522</w:t>
            </w:r>
          </w:p>
        </w:tc>
        <w:tc>
          <w:tcPr>
            <w:tcW w:w="12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3,286</w:t>
            </w:r>
          </w:p>
        </w:tc>
        <w:tc>
          <w:tcPr>
            <w:tcW w:w="12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(3)</w:t>
            </w:r>
          </w:p>
        </w:tc>
        <w:tc>
          <w:tcPr>
            <w:tcW w:w="1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3,283</w:t>
            </w:r>
          </w:p>
        </w:tc>
      </w:tr>
      <w:tr>
        <w:trPr>
          <w:trHeight w:val="144"/>
        </w:trPr>
        <w:tc>
          <w:tcPr>
            <w:tcW w:w="3280" w:type="dxa"/>
            <w:vAlign w:val="bottom"/>
          </w:tcPr>
          <w:p>
            <w:pPr>
              <w:spacing w:after="0" w:line="144" w:lineRule="exact"/>
              <w:rPr>
                <w:sz w:val="20"/>
                <w:szCs w:val="20"/>
                <w:color w:val="auto"/>
              </w:rPr>
            </w:pPr>
            <w:r>
              <w:rPr>
                <w:rFonts w:ascii="Times New Roman" w:cs="Times New Roman" w:eastAsia="Times New Roman" w:hAnsi="Times New Roman"/>
                <w:sz w:val="10"/>
                <w:szCs w:val="10"/>
                <w:color w:val="auto"/>
              </w:rPr>
              <w:t xml:space="preserve">Tax effect of non-GAAP items </w:t>
            </w:r>
            <w:r>
              <w:rPr>
                <w:rFonts w:ascii="Times New Roman" w:cs="Times New Roman" w:eastAsia="Times New Roman" w:hAnsi="Times New Roman"/>
                <w:sz w:val="16"/>
                <w:szCs w:val="16"/>
                <w:color w:val="auto"/>
                <w:vertAlign w:val="superscript"/>
              </w:rPr>
              <w:t>(4)</w:t>
            </w:r>
          </w:p>
        </w:tc>
        <w:tc>
          <w:tcPr>
            <w:tcW w:w="160" w:type="dxa"/>
            <w:vAlign w:val="bottom"/>
          </w:tcPr>
          <w:p>
            <w:pPr>
              <w:spacing w:after="0"/>
              <w:rPr>
                <w:sz w:val="12"/>
                <w:szCs w:val="12"/>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(245)</w:t>
            </w:r>
          </w:p>
        </w:tc>
        <w:tc>
          <w:tcPr>
            <w:tcW w:w="120" w:type="dxa"/>
            <w:vAlign w:val="bottom"/>
          </w:tcPr>
          <w:p>
            <w:pPr>
              <w:spacing w:after="0"/>
              <w:rPr>
                <w:sz w:val="12"/>
                <w:szCs w:val="12"/>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1,150</w:t>
            </w:r>
          </w:p>
        </w:tc>
        <w:tc>
          <w:tcPr>
            <w:tcW w:w="140" w:type="dxa"/>
            <w:vAlign w:val="bottom"/>
          </w:tcPr>
          <w:p>
            <w:pPr>
              <w:spacing w:after="0"/>
              <w:rPr>
                <w:sz w:val="12"/>
                <w:szCs w:val="12"/>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905</w:t>
            </w:r>
          </w:p>
        </w:tc>
        <w:tc>
          <w:tcPr>
            <w:tcW w:w="120" w:type="dxa"/>
            <w:vAlign w:val="bottom"/>
          </w:tcPr>
          <w:p>
            <w:pPr>
              <w:spacing w:after="0"/>
              <w:rPr>
                <w:sz w:val="12"/>
                <w:szCs w:val="12"/>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(350)</w:t>
            </w:r>
          </w:p>
        </w:tc>
        <w:tc>
          <w:tcPr>
            <w:tcW w:w="120" w:type="dxa"/>
            <w:vAlign w:val="bottom"/>
          </w:tcPr>
          <w:p>
            <w:pPr>
              <w:spacing w:after="0"/>
              <w:rPr>
                <w:sz w:val="12"/>
                <w:szCs w:val="12"/>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1,264</w:t>
            </w:r>
          </w:p>
        </w:tc>
        <w:tc>
          <w:tcPr>
            <w:tcW w:w="160" w:type="dxa"/>
            <w:vAlign w:val="bottom"/>
          </w:tcPr>
          <w:p>
            <w:pPr>
              <w:spacing w:after="0"/>
              <w:rPr>
                <w:sz w:val="12"/>
                <w:szCs w:val="12"/>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914</w:t>
            </w:r>
          </w:p>
        </w:tc>
      </w:tr>
      <w:tr>
        <w:trPr>
          <w:trHeight w:val="182"/>
        </w:trPr>
        <w:tc>
          <w:tcPr>
            <w:tcW w:w="32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Adjusted net income (loss)</w:t>
            </w:r>
          </w:p>
        </w:tc>
        <w:tc>
          <w:tcPr>
            <w:tcW w:w="160" w:type="dxa"/>
            <w:vAlign w:val="bottom"/>
            <w:tcBorders>
              <w:top w:val="single" w:sz="8" w:color="auto"/>
              <w:bottom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861</w:t>
            </w:r>
          </w:p>
        </w:tc>
        <w:tc>
          <w:tcPr>
            <w:tcW w:w="2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(3,852)</w:t>
            </w:r>
          </w:p>
        </w:tc>
        <w:tc>
          <w:tcPr>
            <w:tcW w:w="24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(2,991)</w:t>
            </w:r>
          </w:p>
        </w:tc>
        <w:tc>
          <w:tcPr>
            <w:tcW w:w="2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1,167</w:t>
            </w:r>
          </w:p>
        </w:tc>
        <w:tc>
          <w:tcPr>
            <w:tcW w:w="2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(4,233)</w:t>
            </w:r>
          </w:p>
        </w:tc>
        <w:tc>
          <w:tcPr>
            <w:tcW w:w="2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(3,066)</w:t>
            </w:r>
          </w:p>
        </w:tc>
        <w:tc>
          <w:tcPr>
            <w:tcW w:w="120" w:type="dxa"/>
            <w:vAlign w:val="bottom"/>
            <w:tcBorders>
              <w:bottom w:val="single" w:sz="8" w:color="CCEEFF"/>
            </w:tcBorders>
            <w:shd w:val="clear" w:color="auto" w:fill="CCEEFF"/>
          </w:tcPr>
          <w:p>
            <w:pPr>
              <w:spacing w:after="0"/>
              <w:rPr>
                <w:sz w:val="15"/>
                <w:szCs w:val="15"/>
                <w:color w:val="auto"/>
              </w:rPr>
            </w:pPr>
          </w:p>
        </w:tc>
      </w:tr>
      <w:tr>
        <w:trPr>
          <w:trHeight w:val="264"/>
        </w:trPr>
        <w:tc>
          <w:tcPr>
            <w:tcW w:w="7380" w:type="dxa"/>
            <w:vAlign w:val="bottom"/>
            <w:gridSpan w:val="10"/>
          </w:tcPr>
          <w:p>
            <w:pPr>
              <w:spacing w:after="0"/>
              <w:rPr>
                <w:sz w:val="20"/>
                <w:szCs w:val="20"/>
                <w:color w:val="auto"/>
              </w:rPr>
            </w:pPr>
            <w:r>
              <w:rPr>
                <w:rFonts w:ascii="Times New Roman" w:cs="Times New Roman" w:eastAsia="Times New Roman" w:hAnsi="Times New Roman"/>
                <w:sz w:val="12"/>
                <w:szCs w:val="12"/>
                <w:b w:val="1"/>
                <w:bCs w:val="1"/>
                <w:color w:val="auto"/>
              </w:rPr>
              <w:t>Reconciliation of Diluted Loss Per Share to non-GAAP Adjusted and Pro Forma Adjusted Diluted Income (Loss) Per Share:</w:t>
            </w: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r>
      <w:tr>
        <w:trPr>
          <w:trHeight w:val="288"/>
        </w:trPr>
        <w:tc>
          <w:tcPr>
            <w:tcW w:w="32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gridSpan w:val="5"/>
          </w:tcPr>
          <w:p>
            <w:pPr>
              <w:jc w:val="right"/>
              <w:ind w:right="980"/>
              <w:spacing w:after="0"/>
              <w:rPr>
                <w:sz w:val="20"/>
                <w:szCs w:val="20"/>
                <w:color w:val="auto"/>
              </w:rPr>
            </w:pPr>
            <w:r>
              <w:rPr>
                <w:rFonts w:ascii="Times New Roman" w:cs="Times New Roman" w:eastAsia="Times New Roman" w:hAnsi="Times New Roman"/>
                <w:sz w:val="12"/>
                <w:szCs w:val="12"/>
                <w:color w:val="auto"/>
              </w:rPr>
              <w:t>Three Months Ended</w:t>
            </w: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24"/>
        </w:trPr>
        <w:tc>
          <w:tcPr>
            <w:tcW w:w="32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60" w:type="dxa"/>
            <w:vAlign w:val="bottom"/>
            <w:gridSpan w:val="2"/>
          </w:tcPr>
          <w:p>
            <w:pPr>
              <w:jc w:val="center"/>
              <w:ind w:right="360"/>
              <w:spacing w:after="0" w:line="124" w:lineRule="exact"/>
              <w:rPr>
                <w:sz w:val="20"/>
                <w:szCs w:val="20"/>
                <w:color w:val="auto"/>
              </w:rPr>
            </w:pPr>
            <w:r>
              <w:rPr>
                <w:rFonts w:ascii="Times New Roman" w:cs="Times New Roman" w:eastAsia="Times New Roman" w:hAnsi="Times New Roman"/>
                <w:sz w:val="12"/>
                <w:szCs w:val="12"/>
                <w:color w:val="auto"/>
                <w:w w:val="97"/>
              </w:rPr>
              <w:t>Pro Forma</w:t>
            </w:r>
          </w:p>
        </w:tc>
        <w:tc>
          <w:tcPr>
            <w:tcW w:w="1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20" w:type="dxa"/>
            <w:vAlign w:val="bottom"/>
            <w:gridSpan w:val="2"/>
          </w:tcPr>
          <w:p>
            <w:pPr>
              <w:jc w:val="center"/>
              <w:ind w:right="340"/>
              <w:spacing w:after="0" w:line="124" w:lineRule="exact"/>
              <w:rPr>
                <w:sz w:val="20"/>
                <w:szCs w:val="20"/>
                <w:color w:val="auto"/>
              </w:rPr>
            </w:pPr>
            <w:r>
              <w:rPr>
                <w:rFonts w:ascii="Times New Roman" w:cs="Times New Roman" w:eastAsia="Times New Roman" w:hAnsi="Times New Roman"/>
                <w:sz w:val="12"/>
                <w:szCs w:val="12"/>
                <w:color w:val="auto"/>
              </w:rPr>
              <w:t>Pro Forma</w:t>
            </w:r>
          </w:p>
        </w:tc>
        <w:tc>
          <w:tcPr>
            <w:tcW w:w="1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51"/>
        </w:trPr>
        <w:tc>
          <w:tcPr>
            <w:tcW w:w="3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gridSpan w:val="2"/>
          </w:tcPr>
          <w:p>
            <w:pPr>
              <w:jc w:val="center"/>
              <w:ind w:right="400"/>
              <w:spacing w:after="0" w:line="151" w:lineRule="exact"/>
              <w:rPr>
                <w:sz w:val="20"/>
                <w:szCs w:val="20"/>
                <w:color w:val="auto"/>
              </w:rPr>
            </w:pPr>
            <w:r>
              <w:rPr>
                <w:rFonts w:ascii="Times New Roman" w:cs="Times New Roman" w:eastAsia="Times New Roman" w:hAnsi="Times New Roman"/>
                <w:sz w:val="11"/>
                <w:szCs w:val="11"/>
                <w:color w:val="auto"/>
                <w:w w:val="98"/>
              </w:rPr>
              <w:t>Actual</w:t>
            </w:r>
            <w:r>
              <w:rPr>
                <w:rFonts w:ascii="Times New Roman" w:cs="Times New Roman" w:eastAsia="Times New Roman" w:hAnsi="Times New Roman"/>
                <w:sz w:val="17"/>
                <w:szCs w:val="17"/>
                <w:color w:val="auto"/>
                <w:w w:val="98"/>
                <w:vertAlign w:val="superscript"/>
              </w:rPr>
              <w:t>(1)</w:t>
            </w:r>
          </w:p>
        </w:tc>
        <w:tc>
          <w:tcPr>
            <w:tcW w:w="120" w:type="dxa"/>
            <w:vAlign w:val="bottom"/>
          </w:tcPr>
          <w:p>
            <w:pPr>
              <w:spacing w:after="0"/>
              <w:rPr>
                <w:sz w:val="13"/>
                <w:szCs w:val="13"/>
                <w:color w:val="auto"/>
              </w:rPr>
            </w:pPr>
          </w:p>
        </w:tc>
        <w:tc>
          <w:tcPr>
            <w:tcW w:w="1260" w:type="dxa"/>
            <w:vAlign w:val="bottom"/>
            <w:gridSpan w:val="2"/>
          </w:tcPr>
          <w:p>
            <w:pPr>
              <w:jc w:val="center"/>
              <w:ind w:right="360"/>
              <w:spacing w:after="0" w:line="151" w:lineRule="exact"/>
              <w:rPr>
                <w:sz w:val="20"/>
                <w:szCs w:val="20"/>
                <w:color w:val="auto"/>
              </w:rPr>
            </w:pPr>
            <w:r>
              <w:rPr>
                <w:rFonts w:ascii="Times New Roman" w:cs="Times New Roman" w:eastAsia="Times New Roman" w:hAnsi="Times New Roman"/>
                <w:sz w:val="11"/>
                <w:szCs w:val="11"/>
                <w:color w:val="auto"/>
              </w:rPr>
              <w:t xml:space="preserve">Adjustments </w:t>
            </w:r>
            <w:r>
              <w:rPr>
                <w:rFonts w:ascii="Times New Roman" w:cs="Times New Roman" w:eastAsia="Times New Roman" w:hAnsi="Times New Roman"/>
                <w:sz w:val="17"/>
                <w:szCs w:val="17"/>
                <w:color w:val="auto"/>
                <w:vertAlign w:val="superscript"/>
              </w:rPr>
              <w:t>(2)</w:t>
            </w:r>
          </w:p>
        </w:tc>
        <w:tc>
          <w:tcPr>
            <w:tcW w:w="140" w:type="dxa"/>
            <w:vAlign w:val="bottom"/>
          </w:tcPr>
          <w:p>
            <w:pPr>
              <w:spacing w:after="0"/>
              <w:rPr>
                <w:sz w:val="13"/>
                <w:szCs w:val="13"/>
                <w:color w:val="auto"/>
              </w:rPr>
            </w:pPr>
          </w:p>
        </w:tc>
        <w:tc>
          <w:tcPr>
            <w:tcW w:w="1200" w:type="dxa"/>
            <w:vAlign w:val="bottom"/>
            <w:gridSpan w:val="2"/>
          </w:tcPr>
          <w:p>
            <w:pPr>
              <w:jc w:val="center"/>
              <w:ind w:right="360"/>
              <w:spacing w:after="0"/>
              <w:rPr>
                <w:sz w:val="20"/>
                <w:szCs w:val="20"/>
                <w:color w:val="auto"/>
              </w:rPr>
            </w:pPr>
            <w:r>
              <w:rPr>
                <w:rFonts w:ascii="Times New Roman" w:cs="Times New Roman" w:eastAsia="Times New Roman" w:hAnsi="Times New Roman"/>
                <w:sz w:val="12"/>
                <w:szCs w:val="12"/>
                <w:color w:val="auto"/>
              </w:rPr>
              <w:t>Pro Forma</w:t>
            </w:r>
          </w:p>
        </w:tc>
        <w:tc>
          <w:tcPr>
            <w:tcW w:w="120" w:type="dxa"/>
            <w:vAlign w:val="bottom"/>
          </w:tcPr>
          <w:p>
            <w:pPr>
              <w:spacing w:after="0"/>
              <w:rPr>
                <w:sz w:val="13"/>
                <w:szCs w:val="13"/>
                <w:color w:val="auto"/>
              </w:rPr>
            </w:pPr>
          </w:p>
        </w:tc>
        <w:tc>
          <w:tcPr>
            <w:tcW w:w="1220" w:type="dxa"/>
            <w:vAlign w:val="bottom"/>
            <w:gridSpan w:val="2"/>
          </w:tcPr>
          <w:p>
            <w:pPr>
              <w:jc w:val="center"/>
              <w:ind w:right="320"/>
              <w:spacing w:after="0" w:line="151" w:lineRule="exact"/>
              <w:rPr>
                <w:sz w:val="20"/>
                <w:szCs w:val="20"/>
                <w:color w:val="auto"/>
              </w:rPr>
            </w:pPr>
            <w:r>
              <w:rPr>
                <w:rFonts w:ascii="Times New Roman" w:cs="Times New Roman" w:eastAsia="Times New Roman" w:hAnsi="Times New Roman"/>
                <w:sz w:val="11"/>
                <w:szCs w:val="11"/>
                <w:color w:val="auto"/>
              </w:rPr>
              <w:t xml:space="preserve">As Reported </w:t>
            </w:r>
            <w:r>
              <w:rPr>
                <w:rFonts w:ascii="Times New Roman" w:cs="Times New Roman" w:eastAsia="Times New Roman" w:hAnsi="Times New Roman"/>
                <w:sz w:val="17"/>
                <w:szCs w:val="17"/>
                <w:color w:val="auto"/>
                <w:vertAlign w:val="superscript"/>
              </w:rPr>
              <w:t>(1)</w:t>
            </w:r>
          </w:p>
        </w:tc>
        <w:tc>
          <w:tcPr>
            <w:tcW w:w="120" w:type="dxa"/>
            <w:vAlign w:val="bottom"/>
          </w:tcPr>
          <w:p>
            <w:pPr>
              <w:spacing w:after="0"/>
              <w:rPr>
                <w:sz w:val="13"/>
                <w:szCs w:val="13"/>
                <w:color w:val="auto"/>
              </w:rPr>
            </w:pPr>
          </w:p>
        </w:tc>
        <w:tc>
          <w:tcPr>
            <w:tcW w:w="1220" w:type="dxa"/>
            <w:vAlign w:val="bottom"/>
            <w:gridSpan w:val="2"/>
          </w:tcPr>
          <w:p>
            <w:pPr>
              <w:jc w:val="center"/>
              <w:ind w:right="320"/>
              <w:spacing w:after="0" w:line="151" w:lineRule="exact"/>
              <w:rPr>
                <w:sz w:val="20"/>
                <w:szCs w:val="20"/>
                <w:color w:val="auto"/>
              </w:rPr>
            </w:pPr>
            <w:r>
              <w:rPr>
                <w:rFonts w:ascii="Times New Roman" w:cs="Times New Roman" w:eastAsia="Times New Roman" w:hAnsi="Times New Roman"/>
                <w:sz w:val="11"/>
                <w:szCs w:val="11"/>
                <w:color w:val="auto"/>
              </w:rPr>
              <w:t xml:space="preserve">Adjustments </w:t>
            </w:r>
            <w:r>
              <w:rPr>
                <w:rFonts w:ascii="Times New Roman" w:cs="Times New Roman" w:eastAsia="Times New Roman" w:hAnsi="Times New Roman"/>
                <w:sz w:val="17"/>
                <w:szCs w:val="17"/>
                <w:color w:val="auto"/>
                <w:vertAlign w:val="superscript"/>
              </w:rPr>
              <w:t>(2)</w:t>
            </w:r>
          </w:p>
        </w:tc>
        <w:tc>
          <w:tcPr>
            <w:tcW w:w="160" w:type="dxa"/>
            <w:vAlign w:val="bottom"/>
          </w:tcPr>
          <w:p>
            <w:pPr>
              <w:spacing w:after="0"/>
              <w:rPr>
                <w:sz w:val="13"/>
                <w:szCs w:val="13"/>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2"/>
                <w:szCs w:val="12"/>
                <w:color w:val="auto"/>
                <w:w w:val="97"/>
              </w:rPr>
              <w:t>Pro Forma</w:t>
            </w:r>
          </w:p>
        </w:tc>
      </w:tr>
      <w:tr>
        <w:trPr>
          <w:trHeight w:val="155"/>
        </w:trPr>
        <w:tc>
          <w:tcPr>
            <w:tcW w:w="3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gridSpan w:val="2"/>
          </w:tcPr>
          <w:p>
            <w:pPr>
              <w:jc w:val="center"/>
              <w:ind w:right="400"/>
              <w:spacing w:after="0"/>
              <w:rPr>
                <w:sz w:val="20"/>
                <w:szCs w:val="20"/>
                <w:color w:val="auto"/>
              </w:rPr>
            </w:pPr>
            <w:r>
              <w:rPr>
                <w:rFonts w:ascii="Times New Roman" w:cs="Times New Roman" w:eastAsia="Times New Roman" w:hAnsi="Times New Roman"/>
                <w:sz w:val="12"/>
                <w:szCs w:val="12"/>
                <w:color w:val="auto"/>
                <w:w w:val="98"/>
              </w:rPr>
              <w:t>Feb 28, 2026</w:t>
            </w:r>
          </w:p>
        </w:tc>
        <w:tc>
          <w:tcPr>
            <w:tcW w:w="120" w:type="dxa"/>
            <w:vAlign w:val="bottom"/>
          </w:tcPr>
          <w:p>
            <w:pPr>
              <w:spacing w:after="0"/>
              <w:rPr>
                <w:sz w:val="13"/>
                <w:szCs w:val="13"/>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2"/>
                <w:szCs w:val="12"/>
                <w:color w:val="auto"/>
                <w:w w:val="98"/>
              </w:rPr>
              <w:t>Feb 28, 2026</w:t>
            </w:r>
          </w:p>
        </w:tc>
        <w:tc>
          <w:tcPr>
            <w:tcW w:w="140" w:type="dxa"/>
            <w:vAlign w:val="bottom"/>
          </w:tcPr>
          <w:p>
            <w:pPr>
              <w:spacing w:after="0"/>
              <w:rPr>
                <w:sz w:val="13"/>
                <w:szCs w:val="13"/>
                <w:color w:val="auto"/>
              </w:rPr>
            </w:pPr>
          </w:p>
        </w:tc>
        <w:tc>
          <w:tcPr>
            <w:tcW w:w="1200" w:type="dxa"/>
            <w:vAlign w:val="bottom"/>
            <w:gridSpan w:val="2"/>
          </w:tcPr>
          <w:p>
            <w:pPr>
              <w:jc w:val="center"/>
              <w:ind w:right="360"/>
              <w:spacing w:after="0"/>
              <w:rPr>
                <w:sz w:val="20"/>
                <w:szCs w:val="20"/>
                <w:color w:val="auto"/>
              </w:rPr>
            </w:pPr>
            <w:r>
              <w:rPr>
                <w:rFonts w:ascii="Times New Roman" w:cs="Times New Roman" w:eastAsia="Times New Roman" w:hAnsi="Times New Roman"/>
                <w:sz w:val="12"/>
                <w:szCs w:val="12"/>
                <w:color w:val="auto"/>
              </w:rPr>
              <w:t>Feb 28, 2026</w:t>
            </w:r>
          </w:p>
        </w:tc>
        <w:tc>
          <w:tcPr>
            <w:tcW w:w="120" w:type="dxa"/>
            <w:vAlign w:val="bottom"/>
          </w:tcPr>
          <w:p>
            <w:pPr>
              <w:spacing w:after="0"/>
              <w:rPr>
                <w:sz w:val="13"/>
                <w:szCs w:val="13"/>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2"/>
                <w:szCs w:val="12"/>
                <w:color w:val="auto"/>
              </w:rPr>
              <w:t>Feb 28, 2025</w:t>
            </w:r>
          </w:p>
        </w:tc>
        <w:tc>
          <w:tcPr>
            <w:tcW w:w="120" w:type="dxa"/>
            <w:vAlign w:val="bottom"/>
          </w:tcPr>
          <w:p>
            <w:pPr>
              <w:spacing w:after="0"/>
              <w:rPr>
                <w:sz w:val="13"/>
                <w:szCs w:val="13"/>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2"/>
                <w:szCs w:val="12"/>
                <w:color w:val="auto"/>
              </w:rPr>
              <w:t>Feb 28, 2025</w:t>
            </w:r>
          </w:p>
        </w:tc>
        <w:tc>
          <w:tcPr>
            <w:tcW w:w="160" w:type="dxa"/>
            <w:vAlign w:val="bottom"/>
          </w:tcPr>
          <w:p>
            <w:pPr>
              <w:spacing w:after="0"/>
              <w:rPr>
                <w:sz w:val="13"/>
                <w:szCs w:val="13"/>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2"/>
                <w:szCs w:val="12"/>
                <w:color w:val="auto"/>
                <w:w w:val="98"/>
              </w:rPr>
              <w:t>Feb 28, 2025</w:t>
            </w:r>
          </w:p>
        </w:tc>
      </w:tr>
      <w:tr>
        <w:trPr>
          <w:trHeight w:val="153"/>
        </w:trPr>
        <w:tc>
          <w:tcPr>
            <w:tcW w:w="328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jc w:val="center"/>
              <w:ind w:right="81"/>
              <w:spacing w:after="0"/>
              <w:rPr>
                <w:sz w:val="20"/>
                <w:szCs w:val="20"/>
                <w:color w:val="auto"/>
              </w:rPr>
            </w:pPr>
            <w:r>
              <w:rPr>
                <w:rFonts w:ascii="Times New Roman" w:cs="Times New Roman" w:eastAsia="Times New Roman" w:hAnsi="Times New Roman"/>
                <w:sz w:val="12"/>
                <w:szCs w:val="12"/>
                <w:color w:val="auto"/>
              </w:rPr>
              <w:t>(unaudited)</w:t>
            </w:r>
          </w:p>
        </w:tc>
        <w:tc>
          <w:tcPr>
            <w:tcW w:w="24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jc w:val="center"/>
              <w:ind w:right="61"/>
              <w:spacing w:after="0"/>
              <w:rPr>
                <w:sz w:val="20"/>
                <w:szCs w:val="20"/>
                <w:color w:val="auto"/>
              </w:rPr>
            </w:pPr>
            <w:r>
              <w:rPr>
                <w:rFonts w:ascii="Times New Roman" w:cs="Times New Roman" w:eastAsia="Times New Roman" w:hAnsi="Times New Roman"/>
                <w:sz w:val="12"/>
                <w:szCs w:val="12"/>
                <w:color w:val="auto"/>
              </w:rPr>
              <w:t>(unaudited)</w:t>
            </w:r>
          </w:p>
        </w:tc>
        <w:tc>
          <w:tcPr>
            <w:tcW w:w="2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33"/>
        </w:trPr>
        <w:tc>
          <w:tcPr>
            <w:tcW w:w="3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gridSpan w:val="2"/>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2"/>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2"/>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gridSpan w:val="2"/>
          </w:tcPr>
          <w:p>
            <w:pPr>
              <w:spacing w:after="0"/>
              <w:rPr>
                <w:sz w:val="11"/>
                <w:szCs w:val="11"/>
                <w:color w:val="auto"/>
              </w:rPr>
            </w:pPr>
          </w:p>
        </w:tc>
      </w:tr>
      <w:tr>
        <w:trPr>
          <w:trHeight w:val="144"/>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Diluted loss per share</w:t>
            </w:r>
          </w:p>
        </w:tc>
        <w:tc>
          <w:tcPr>
            <w:tcW w:w="16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(0.19)</w:t>
            </w:r>
          </w:p>
        </w:tc>
        <w:tc>
          <w:tcPr>
            <w:tcW w:w="12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(0.12)</w:t>
            </w:r>
          </w:p>
        </w:tc>
        <w:tc>
          <w:tcPr>
            <w:tcW w:w="14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(0.31)</w:t>
            </w:r>
          </w:p>
        </w:tc>
        <w:tc>
          <w:tcPr>
            <w:tcW w:w="12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(0.11)</w:t>
            </w:r>
          </w:p>
        </w:tc>
        <w:tc>
          <w:tcPr>
            <w:tcW w:w="12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(0.13)</w:t>
            </w:r>
          </w:p>
        </w:tc>
        <w:tc>
          <w:tcPr>
            <w:tcW w:w="16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(0.24)</w:t>
            </w:r>
          </w:p>
        </w:tc>
      </w:tr>
      <w:tr>
        <w:trPr>
          <w:trHeight w:val="144"/>
        </w:trPr>
        <w:tc>
          <w:tcPr>
            <w:tcW w:w="3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spacing w:after="0"/>
              <w:rPr>
                <w:sz w:val="12"/>
                <w:szCs w:val="12"/>
                <w:color w:val="auto"/>
              </w:rPr>
            </w:pPr>
          </w:p>
        </w:tc>
      </w:tr>
      <w:tr>
        <w:trPr>
          <w:trHeight w:val="144"/>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Amortization of intangibles</w:t>
            </w:r>
          </w:p>
        </w:tc>
        <w:tc>
          <w:tcPr>
            <w:tcW w:w="16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0.06</w:t>
            </w: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0.06</w:t>
            </w:r>
          </w:p>
        </w:tc>
        <w:tc>
          <w:tcPr>
            <w:tcW w:w="12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0.06</w:t>
            </w:r>
          </w:p>
        </w:tc>
        <w:tc>
          <w:tcPr>
            <w:tcW w:w="12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0.06</w:t>
            </w:r>
          </w:p>
        </w:tc>
      </w:tr>
      <w:tr>
        <w:trPr>
          <w:trHeight w:val="144"/>
        </w:trPr>
        <w:tc>
          <w:tcPr>
            <w:tcW w:w="3280" w:type="dxa"/>
            <w:vAlign w:val="bottom"/>
          </w:tcPr>
          <w:p>
            <w:pPr>
              <w:spacing w:after="0"/>
              <w:rPr>
                <w:sz w:val="20"/>
                <w:szCs w:val="20"/>
                <w:color w:val="auto"/>
              </w:rPr>
            </w:pPr>
            <w:r>
              <w:rPr>
                <w:rFonts w:ascii="Times New Roman" w:cs="Times New Roman" w:eastAsia="Times New Roman" w:hAnsi="Times New Roman"/>
                <w:sz w:val="12"/>
                <w:szCs w:val="12"/>
                <w:color w:val="auto"/>
              </w:rPr>
              <w:t>Change in fair value of contingent consideration</w:t>
            </w:r>
          </w:p>
        </w:tc>
        <w:tc>
          <w:tcPr>
            <w:tcW w:w="160" w:type="dxa"/>
            <w:vAlign w:val="bottom"/>
          </w:tcPr>
          <w:p>
            <w:pPr>
              <w:spacing w:after="0"/>
              <w:rPr>
                <w:sz w:val="12"/>
                <w:szCs w:val="12"/>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2"/>
                <w:szCs w:val="12"/>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2"/>
                <w:szCs w:val="12"/>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2"/>
                <w:szCs w:val="12"/>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0.01</w:t>
            </w:r>
          </w:p>
        </w:tc>
        <w:tc>
          <w:tcPr>
            <w:tcW w:w="120" w:type="dxa"/>
            <w:vAlign w:val="bottom"/>
          </w:tcPr>
          <w:p>
            <w:pPr>
              <w:spacing w:after="0"/>
              <w:rPr>
                <w:sz w:val="12"/>
                <w:szCs w:val="12"/>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2"/>
                <w:szCs w:val="12"/>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0.01</w:t>
            </w:r>
          </w:p>
        </w:tc>
      </w:tr>
      <w:tr>
        <w:trPr>
          <w:trHeight w:val="144"/>
        </w:trPr>
        <w:tc>
          <w:tcPr>
            <w:tcW w:w="3280" w:type="dxa"/>
            <w:vAlign w:val="bottom"/>
            <w:shd w:val="clear" w:color="auto" w:fill="CCEEFF"/>
          </w:tcPr>
          <w:p>
            <w:pPr>
              <w:spacing w:after="0" w:line="144" w:lineRule="exact"/>
              <w:rPr>
                <w:sz w:val="20"/>
                <w:szCs w:val="20"/>
                <w:color w:val="auto"/>
              </w:rPr>
            </w:pPr>
            <w:r>
              <w:rPr>
                <w:rFonts w:ascii="Times New Roman" w:cs="Times New Roman" w:eastAsia="Times New Roman" w:hAnsi="Times New Roman"/>
                <w:sz w:val="10"/>
                <w:szCs w:val="10"/>
                <w:color w:val="auto"/>
              </w:rPr>
              <w:t xml:space="preserve">Acquisition, restructuring and other items, net </w:t>
            </w:r>
            <w:r>
              <w:rPr>
                <w:rFonts w:ascii="Times New Roman" w:cs="Times New Roman" w:eastAsia="Times New Roman" w:hAnsi="Times New Roman"/>
                <w:sz w:val="16"/>
                <w:szCs w:val="16"/>
                <w:color w:val="auto"/>
                <w:vertAlign w:val="superscript"/>
              </w:rPr>
              <w:t>(3)</w:t>
            </w:r>
          </w:p>
        </w:tc>
        <w:tc>
          <w:tcPr>
            <w:tcW w:w="16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0.16</w:t>
            </w: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0.16</w:t>
            </w:r>
          </w:p>
        </w:tc>
        <w:tc>
          <w:tcPr>
            <w:tcW w:w="12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0.08</w:t>
            </w:r>
          </w:p>
        </w:tc>
        <w:tc>
          <w:tcPr>
            <w:tcW w:w="12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(0.01)</w:t>
            </w:r>
          </w:p>
        </w:tc>
        <w:tc>
          <w:tcPr>
            <w:tcW w:w="1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0.07</w:t>
            </w:r>
          </w:p>
        </w:tc>
      </w:tr>
      <w:tr>
        <w:trPr>
          <w:trHeight w:val="144"/>
        </w:trPr>
        <w:tc>
          <w:tcPr>
            <w:tcW w:w="3280" w:type="dxa"/>
            <w:vAlign w:val="bottom"/>
          </w:tcPr>
          <w:p>
            <w:pPr>
              <w:spacing w:after="0" w:line="144" w:lineRule="exact"/>
              <w:rPr>
                <w:sz w:val="20"/>
                <w:szCs w:val="20"/>
                <w:color w:val="auto"/>
              </w:rPr>
            </w:pPr>
            <w:r>
              <w:rPr>
                <w:rFonts w:ascii="Times New Roman" w:cs="Times New Roman" w:eastAsia="Times New Roman" w:hAnsi="Times New Roman"/>
                <w:sz w:val="10"/>
                <w:szCs w:val="10"/>
                <w:color w:val="auto"/>
              </w:rPr>
              <w:t xml:space="preserve">Tax effect of non-GAAP items </w:t>
            </w:r>
            <w:r>
              <w:rPr>
                <w:rFonts w:ascii="Times New Roman" w:cs="Times New Roman" w:eastAsia="Times New Roman" w:hAnsi="Times New Roman"/>
                <w:sz w:val="16"/>
                <w:szCs w:val="16"/>
                <w:color w:val="auto"/>
                <w:vertAlign w:val="superscript"/>
              </w:rPr>
              <w:t>(4)</w:t>
            </w:r>
          </w:p>
        </w:tc>
        <w:tc>
          <w:tcPr>
            <w:tcW w:w="160" w:type="dxa"/>
            <w:vAlign w:val="bottom"/>
          </w:tcPr>
          <w:p>
            <w:pPr>
              <w:spacing w:after="0"/>
              <w:rPr>
                <w:sz w:val="12"/>
                <w:szCs w:val="12"/>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(0.01)</w:t>
            </w:r>
          </w:p>
        </w:tc>
        <w:tc>
          <w:tcPr>
            <w:tcW w:w="120" w:type="dxa"/>
            <w:vAlign w:val="bottom"/>
          </w:tcPr>
          <w:p>
            <w:pPr>
              <w:spacing w:after="0"/>
              <w:rPr>
                <w:sz w:val="12"/>
                <w:szCs w:val="12"/>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0.03</w:t>
            </w:r>
          </w:p>
        </w:tc>
        <w:tc>
          <w:tcPr>
            <w:tcW w:w="140" w:type="dxa"/>
            <w:vAlign w:val="bottom"/>
          </w:tcPr>
          <w:p>
            <w:pPr>
              <w:spacing w:after="0"/>
              <w:rPr>
                <w:sz w:val="12"/>
                <w:szCs w:val="12"/>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0.02</w:t>
            </w:r>
          </w:p>
        </w:tc>
        <w:tc>
          <w:tcPr>
            <w:tcW w:w="120" w:type="dxa"/>
            <w:vAlign w:val="bottom"/>
          </w:tcPr>
          <w:p>
            <w:pPr>
              <w:spacing w:after="0"/>
              <w:rPr>
                <w:sz w:val="12"/>
                <w:szCs w:val="12"/>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(0.01)</w:t>
            </w:r>
          </w:p>
        </w:tc>
        <w:tc>
          <w:tcPr>
            <w:tcW w:w="120" w:type="dxa"/>
            <w:vAlign w:val="bottom"/>
          </w:tcPr>
          <w:p>
            <w:pPr>
              <w:spacing w:after="0"/>
              <w:rPr>
                <w:sz w:val="12"/>
                <w:szCs w:val="12"/>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0.03</w:t>
            </w:r>
          </w:p>
        </w:tc>
        <w:tc>
          <w:tcPr>
            <w:tcW w:w="160" w:type="dxa"/>
            <w:vAlign w:val="bottom"/>
          </w:tcPr>
          <w:p>
            <w:pPr>
              <w:spacing w:after="0"/>
              <w:rPr>
                <w:sz w:val="12"/>
                <w:szCs w:val="12"/>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0.02</w:t>
            </w:r>
          </w:p>
        </w:tc>
      </w:tr>
      <w:tr>
        <w:trPr>
          <w:trHeight w:val="20"/>
        </w:trPr>
        <w:tc>
          <w:tcPr>
            <w:tcW w:w="3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82"/>
        </w:trPr>
        <w:tc>
          <w:tcPr>
            <w:tcW w:w="32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Adjusted diluted income (loss) per share</w:t>
            </w:r>
          </w:p>
        </w:tc>
        <w:tc>
          <w:tcPr>
            <w:tcW w:w="16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0.02</w:t>
            </w:r>
          </w:p>
        </w:tc>
        <w:tc>
          <w:tcPr>
            <w:tcW w:w="240" w:type="dxa"/>
            <w:vAlign w:val="bottom"/>
            <w:shd w:val="clear" w:color="auto" w:fill="CCEEFF"/>
          </w:tcPr>
          <w:p>
            <w:pPr>
              <w:spacing w:after="0"/>
              <w:rPr>
                <w:sz w:val="15"/>
                <w:szCs w:val="15"/>
                <w:color w:val="auto"/>
              </w:rPr>
            </w:pPr>
          </w:p>
        </w:tc>
        <w:tc>
          <w:tcPr>
            <w:tcW w:w="12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(0.09)</w:t>
            </w:r>
          </w:p>
        </w:tc>
        <w:tc>
          <w:tcPr>
            <w:tcW w:w="14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(0.07)</w:t>
            </w:r>
          </w:p>
        </w:tc>
        <w:tc>
          <w:tcPr>
            <w:tcW w:w="12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0.03</w:t>
            </w: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(0.11)</w:t>
            </w:r>
          </w:p>
        </w:tc>
        <w:tc>
          <w:tcPr>
            <w:tcW w:w="16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(0.08)</w:t>
            </w:r>
          </w:p>
        </w:tc>
      </w:tr>
      <w:tr>
        <w:trPr>
          <w:trHeight w:val="120"/>
        </w:trPr>
        <w:tc>
          <w:tcPr>
            <w:tcW w:w="3280" w:type="dxa"/>
            <w:vAlign w:val="bottom"/>
            <w:tcBorders>
              <w:top w:val="single" w:sz="8" w:color="CCEEFF"/>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spacing w:after="0"/>
              <w:rPr>
                <w:sz w:val="10"/>
                <w:szCs w:val="10"/>
                <w:color w:val="auto"/>
              </w:rPr>
            </w:pPr>
          </w:p>
        </w:tc>
        <w:tc>
          <w:tcPr>
            <w:tcW w:w="240" w:type="dxa"/>
            <w:vAlign w:val="bottom"/>
            <w:tcBorders>
              <w:top w:val="single" w:sz="8" w:color="CCEEFF"/>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tcPr>
          <w:p>
            <w:pPr>
              <w:spacing w:after="0"/>
              <w:rPr>
                <w:sz w:val="10"/>
                <w:szCs w:val="10"/>
                <w:color w:val="auto"/>
              </w:rPr>
            </w:pPr>
          </w:p>
        </w:tc>
        <w:tc>
          <w:tcPr>
            <w:tcW w:w="240" w:type="dxa"/>
            <w:vAlign w:val="bottom"/>
            <w:tcBorders>
              <w:top w:val="single" w:sz="8" w:color="CCEEFF"/>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spacing w:after="0"/>
              <w:rPr>
                <w:sz w:val="10"/>
                <w:szCs w:val="10"/>
                <w:color w:val="auto"/>
              </w:rPr>
            </w:pPr>
          </w:p>
        </w:tc>
        <w:tc>
          <w:tcPr>
            <w:tcW w:w="220" w:type="dxa"/>
            <w:vAlign w:val="bottom"/>
            <w:tcBorders>
              <w:top w:val="single" w:sz="8" w:color="CCEEFF"/>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spacing w:after="0"/>
              <w:rPr>
                <w:sz w:val="10"/>
                <w:szCs w:val="10"/>
                <w:color w:val="auto"/>
              </w:rPr>
            </w:pPr>
          </w:p>
        </w:tc>
        <w:tc>
          <w:tcPr>
            <w:tcW w:w="220" w:type="dxa"/>
            <w:vAlign w:val="bottom"/>
            <w:tcBorders>
              <w:top w:val="single" w:sz="8" w:color="CCEEFF"/>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spacing w:after="0"/>
              <w:rPr>
                <w:sz w:val="10"/>
                <w:szCs w:val="10"/>
                <w:color w:val="auto"/>
              </w:rPr>
            </w:pPr>
          </w:p>
        </w:tc>
        <w:tc>
          <w:tcPr>
            <w:tcW w:w="220" w:type="dxa"/>
            <w:vAlign w:val="bottom"/>
            <w:tcBorders>
              <w:top w:val="single" w:sz="8" w:color="CCEEFF"/>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r>
      <w:tr>
        <w:trPr>
          <w:trHeight w:val="144"/>
        </w:trPr>
        <w:tc>
          <w:tcPr>
            <w:tcW w:w="3280" w:type="dxa"/>
            <w:vAlign w:val="bottom"/>
            <w:shd w:val="clear" w:color="auto" w:fill="CCEEFF"/>
          </w:tcPr>
          <w:p>
            <w:pPr>
              <w:ind w:left="100"/>
              <w:spacing w:after="0" w:line="144" w:lineRule="exact"/>
              <w:rPr>
                <w:sz w:val="20"/>
                <w:szCs w:val="20"/>
                <w:color w:val="auto"/>
              </w:rPr>
            </w:pPr>
            <w:r>
              <w:rPr>
                <w:rFonts w:ascii="Times New Roman" w:cs="Times New Roman" w:eastAsia="Times New Roman" w:hAnsi="Times New Roman"/>
                <w:sz w:val="10"/>
                <w:szCs w:val="10"/>
                <w:color w:val="auto"/>
              </w:rPr>
              <w:t xml:space="preserve">Adjusted diluted sharecount </w:t>
            </w:r>
            <w:r>
              <w:rPr>
                <w:rFonts w:ascii="Times New Roman" w:cs="Times New Roman" w:eastAsia="Times New Roman" w:hAnsi="Times New Roman"/>
                <w:sz w:val="16"/>
                <w:szCs w:val="16"/>
                <w:color w:val="auto"/>
                <w:vertAlign w:val="superscript"/>
              </w:rPr>
              <w:t>(5)</w:t>
            </w:r>
          </w:p>
        </w:tc>
        <w:tc>
          <w:tcPr>
            <w:tcW w:w="16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43,752</w:t>
            </w: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41,596</w:t>
            </w:r>
          </w:p>
        </w:tc>
        <w:tc>
          <w:tcPr>
            <w:tcW w:w="14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41,596</w:t>
            </w:r>
          </w:p>
        </w:tc>
        <w:tc>
          <w:tcPr>
            <w:tcW w:w="12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42,091</w:t>
            </w:r>
          </w:p>
        </w:tc>
        <w:tc>
          <w:tcPr>
            <w:tcW w:w="12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40,853</w:t>
            </w:r>
          </w:p>
        </w:tc>
        <w:tc>
          <w:tcPr>
            <w:tcW w:w="1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40,853</w:t>
            </w:r>
          </w:p>
        </w:tc>
      </w:tr>
    </w:tbl>
    <w:p>
      <w:pPr>
        <w:spacing w:after="0" w:line="133" w:lineRule="exact"/>
        <w:rPr>
          <w:sz w:val="20"/>
          <w:szCs w:val="20"/>
          <w:color w:val="auto"/>
        </w:rPr>
      </w:pPr>
    </w:p>
    <w:p>
      <w:pPr>
        <w:ind w:left="8" w:right="260" w:hanging="8"/>
        <w:spacing w:after="0" w:line="279" w:lineRule="auto"/>
        <w:tabs>
          <w:tab w:leader="none" w:pos="208"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Reflects the Company's US GAAP consolidated financial statements before pro forma adjustments related to the sale of the Dialysis and BioSentry Businesses on June 8, 2023, the sale of the PICCs and Midlines Businesses on February 15, 2024 and the discontinuation of the RadioFrequency Ablation and Syntrax products ("the Businesses") as of February 29, 2024, for the three months ended February 28, 2026 and 2025, respectively .</w:t>
      </w:r>
    </w:p>
    <w:p>
      <w:pPr>
        <w:spacing w:after="0" w:line="111" w:lineRule="exact"/>
        <w:rPr>
          <w:rFonts w:ascii="Times New Roman" w:cs="Times New Roman" w:eastAsia="Times New Roman" w:hAnsi="Times New Roman"/>
          <w:sz w:val="12"/>
          <w:szCs w:val="12"/>
          <w:color w:val="auto"/>
        </w:rPr>
      </w:pPr>
    </w:p>
    <w:p>
      <w:pPr>
        <w:ind w:left="168" w:hanging="168"/>
        <w:spacing w:after="0"/>
        <w:tabs>
          <w:tab w:leader="none" w:pos="168"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Reflects the elimination of revenues and expenses representing the operating results from the sales and discontinuation of the Businesses.</w:t>
      </w:r>
    </w:p>
    <w:p>
      <w:pPr>
        <w:spacing w:after="0" w:line="150" w:lineRule="exact"/>
        <w:rPr>
          <w:rFonts w:ascii="Times New Roman" w:cs="Times New Roman" w:eastAsia="Times New Roman" w:hAnsi="Times New Roman"/>
          <w:sz w:val="12"/>
          <w:szCs w:val="12"/>
          <w:color w:val="auto"/>
        </w:rPr>
      </w:pPr>
    </w:p>
    <w:p>
      <w:pPr>
        <w:ind w:left="208" w:hanging="208"/>
        <w:spacing w:after="0"/>
        <w:tabs>
          <w:tab w:leader="none" w:pos="208"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Includes costs related to merger and acquisition activities, restructuring, and unusual items, including asset impairments and write-offs, certain litigation, and other items.</w:t>
      </w:r>
    </w:p>
    <w:p>
      <w:pPr>
        <w:spacing w:after="0" w:line="150" w:lineRule="exact"/>
        <w:rPr>
          <w:rFonts w:ascii="Times New Roman" w:cs="Times New Roman" w:eastAsia="Times New Roman" w:hAnsi="Times New Roman"/>
          <w:sz w:val="12"/>
          <w:szCs w:val="12"/>
          <w:color w:val="auto"/>
        </w:rPr>
      </w:pPr>
    </w:p>
    <w:p>
      <w:pPr>
        <w:ind w:left="8" w:right="120" w:hanging="8"/>
        <w:spacing w:after="0" w:line="279" w:lineRule="auto"/>
        <w:tabs>
          <w:tab w:leader="none" w:pos="178"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Adjustment to reflect the income tax provision on a non-GAAP basis has been calculated assuming no valuation allowance on the Company's U.S. deferred tax assets and an effective tax rate of 23% for the periods ended February 28, 2026 and 2025.</w:t>
      </w:r>
    </w:p>
    <w:p>
      <w:pPr>
        <w:spacing w:after="0" w:line="111" w:lineRule="exact"/>
        <w:rPr>
          <w:rFonts w:ascii="Times New Roman" w:cs="Times New Roman" w:eastAsia="Times New Roman" w:hAnsi="Times New Roman"/>
          <w:sz w:val="12"/>
          <w:szCs w:val="12"/>
          <w:color w:val="auto"/>
        </w:rPr>
      </w:pPr>
    </w:p>
    <w:p>
      <w:pPr>
        <w:ind w:left="168" w:hanging="168"/>
        <w:spacing w:after="0"/>
        <w:tabs>
          <w:tab w:leader="none" w:pos="168"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Diluted shares may differ for non-GAAP measures as compared to GAAP due to a GAAP loss.</w:t>
      </w:r>
    </w:p>
    <w:p>
      <w:pPr>
        <w:spacing w:after="0" w:line="263"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0"/>
          <w:szCs w:val="1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21590</wp:posOffset>
            </wp:positionV>
            <wp:extent cx="7178040" cy="114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8"/>
          </w:cols>
          <w:pgMar w:left="292" w:top="125" w:right="299" w:bottom="1440" w:gutter="0" w:footer="0" w:header="0"/>
        </w:sectPr>
      </w:pPr>
    </w:p>
    <w:bookmarkStart w:id="12" w:name="page13"/>
    <w:bookmarkEnd w:id="12"/>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ANGIODYNAMICS, INC. AND SUBSIDIARIES</w:t>
      </w:r>
    </w:p>
    <w:p>
      <w:pPr>
        <w:spacing w:after="0" w:line="2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GAAP TO NON-GAAP RECONCILIATION (Continued)</w:t>
      </w:r>
    </w:p>
    <w:p>
      <w:pPr>
        <w:spacing w:after="0" w:line="6"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(in thousands)</w:t>
      </w:r>
    </w:p>
    <w:p>
      <w:pPr>
        <w:spacing w:after="0" w:line="135" w:lineRule="exact"/>
        <w:rPr>
          <w:sz w:val="20"/>
          <w:szCs w:val="20"/>
          <w:color w:val="auto"/>
        </w:rPr>
      </w:pPr>
    </w:p>
    <w:tbl>
      <w:tblPr>
        <w:tblLayout w:type="fixed"/>
        <w:tblInd w:w="8" w:type="dxa"/>
        <w:tblCellMar>
          <w:top w:w="0" w:type="dxa"/>
          <w:left w:w="0" w:type="dxa"/>
          <w:bottom w:w="0" w:type="dxa"/>
          <w:right w:w="0" w:type="dxa"/>
        </w:tblCellMar>
      </w:tblPr>
      <w:tr>
        <w:trPr>
          <w:trHeight w:val="159"/>
        </w:trPr>
        <w:tc>
          <w:tcPr>
            <w:tcW w:w="7380" w:type="dxa"/>
            <w:vAlign w:val="bottom"/>
            <w:gridSpan w:val="10"/>
          </w:tcPr>
          <w:p>
            <w:pPr>
              <w:spacing w:after="0"/>
              <w:rPr>
                <w:sz w:val="20"/>
                <w:szCs w:val="20"/>
                <w:color w:val="auto"/>
              </w:rPr>
            </w:pPr>
            <w:r>
              <w:rPr>
                <w:rFonts w:ascii="Times New Roman" w:cs="Times New Roman" w:eastAsia="Times New Roman" w:hAnsi="Times New Roman"/>
                <w:sz w:val="12"/>
                <w:szCs w:val="12"/>
                <w:b w:val="1"/>
                <w:bCs w:val="1"/>
                <w:color w:val="auto"/>
              </w:rPr>
              <w:t>Reconciliation of Net Loss and non-GAAP Pro Forma Adjusted Net Loss to Adjusted EBITDA and Pro Forma Adjusted EBITDA:</w:t>
            </w: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88"/>
        </w:trPr>
        <w:tc>
          <w:tcPr>
            <w:tcW w:w="32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gridSpan w:val="5"/>
          </w:tcPr>
          <w:p>
            <w:pPr>
              <w:jc w:val="right"/>
              <w:ind w:right="980"/>
              <w:spacing w:after="0"/>
              <w:rPr>
                <w:sz w:val="20"/>
                <w:szCs w:val="20"/>
                <w:color w:val="auto"/>
              </w:rPr>
            </w:pPr>
            <w:r>
              <w:rPr>
                <w:rFonts w:ascii="Times New Roman" w:cs="Times New Roman" w:eastAsia="Times New Roman" w:hAnsi="Times New Roman"/>
                <w:sz w:val="12"/>
                <w:szCs w:val="12"/>
                <w:color w:val="auto"/>
              </w:rPr>
              <w:t>Three Months Ended</w:t>
            </w: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24"/>
        </w:trPr>
        <w:tc>
          <w:tcPr>
            <w:tcW w:w="3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60" w:type="dxa"/>
            <w:vAlign w:val="bottom"/>
            <w:gridSpan w:val="2"/>
          </w:tcPr>
          <w:p>
            <w:pPr>
              <w:jc w:val="center"/>
              <w:ind w:right="360"/>
              <w:spacing w:after="0" w:line="124" w:lineRule="exact"/>
              <w:rPr>
                <w:sz w:val="20"/>
                <w:szCs w:val="20"/>
                <w:color w:val="auto"/>
              </w:rPr>
            </w:pPr>
            <w:r>
              <w:rPr>
                <w:rFonts w:ascii="Times New Roman" w:cs="Times New Roman" w:eastAsia="Times New Roman" w:hAnsi="Times New Roman"/>
                <w:sz w:val="12"/>
                <w:szCs w:val="12"/>
                <w:color w:val="auto"/>
                <w:w w:val="97"/>
              </w:rPr>
              <w:t>Pro Forma</w:t>
            </w:r>
          </w:p>
        </w:tc>
        <w:tc>
          <w:tcPr>
            <w:tcW w:w="1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20" w:type="dxa"/>
            <w:vAlign w:val="bottom"/>
            <w:gridSpan w:val="2"/>
          </w:tcPr>
          <w:p>
            <w:pPr>
              <w:jc w:val="center"/>
              <w:ind w:right="340"/>
              <w:spacing w:after="0" w:line="124" w:lineRule="exact"/>
              <w:rPr>
                <w:sz w:val="20"/>
                <w:szCs w:val="20"/>
                <w:color w:val="auto"/>
              </w:rPr>
            </w:pPr>
            <w:r>
              <w:rPr>
                <w:rFonts w:ascii="Times New Roman" w:cs="Times New Roman" w:eastAsia="Times New Roman" w:hAnsi="Times New Roman"/>
                <w:sz w:val="12"/>
                <w:szCs w:val="12"/>
                <w:color w:val="auto"/>
              </w:rPr>
              <w:t>Pro Forma</w:t>
            </w:r>
          </w:p>
        </w:tc>
        <w:tc>
          <w:tcPr>
            <w:tcW w:w="1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51"/>
        </w:trPr>
        <w:tc>
          <w:tcPr>
            <w:tcW w:w="3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gridSpan w:val="2"/>
          </w:tcPr>
          <w:p>
            <w:pPr>
              <w:jc w:val="right"/>
              <w:ind w:right="440"/>
              <w:spacing w:after="0" w:line="151" w:lineRule="exact"/>
              <w:rPr>
                <w:sz w:val="20"/>
                <w:szCs w:val="20"/>
                <w:color w:val="auto"/>
              </w:rPr>
            </w:pPr>
            <w:r>
              <w:rPr>
                <w:rFonts w:ascii="Times New Roman" w:cs="Times New Roman" w:eastAsia="Times New Roman" w:hAnsi="Times New Roman"/>
                <w:sz w:val="11"/>
                <w:szCs w:val="11"/>
                <w:color w:val="auto"/>
              </w:rPr>
              <w:t xml:space="preserve">As Reported </w:t>
            </w:r>
            <w:r>
              <w:rPr>
                <w:rFonts w:ascii="Times New Roman" w:cs="Times New Roman" w:eastAsia="Times New Roman" w:hAnsi="Times New Roman"/>
                <w:sz w:val="17"/>
                <w:szCs w:val="17"/>
                <w:color w:val="auto"/>
                <w:vertAlign w:val="superscript"/>
              </w:rPr>
              <w:t>(1)</w:t>
            </w:r>
          </w:p>
        </w:tc>
        <w:tc>
          <w:tcPr>
            <w:tcW w:w="120" w:type="dxa"/>
            <w:vAlign w:val="bottom"/>
          </w:tcPr>
          <w:p>
            <w:pPr>
              <w:spacing w:after="0"/>
              <w:rPr>
                <w:sz w:val="13"/>
                <w:szCs w:val="13"/>
                <w:color w:val="auto"/>
              </w:rPr>
            </w:pPr>
          </w:p>
        </w:tc>
        <w:tc>
          <w:tcPr>
            <w:tcW w:w="1260" w:type="dxa"/>
            <w:vAlign w:val="bottom"/>
            <w:gridSpan w:val="2"/>
          </w:tcPr>
          <w:p>
            <w:pPr>
              <w:jc w:val="center"/>
              <w:ind w:right="360"/>
              <w:spacing w:after="0" w:line="151" w:lineRule="exact"/>
              <w:rPr>
                <w:sz w:val="20"/>
                <w:szCs w:val="20"/>
                <w:color w:val="auto"/>
              </w:rPr>
            </w:pPr>
            <w:r>
              <w:rPr>
                <w:rFonts w:ascii="Times New Roman" w:cs="Times New Roman" w:eastAsia="Times New Roman" w:hAnsi="Times New Roman"/>
                <w:sz w:val="11"/>
                <w:szCs w:val="11"/>
                <w:color w:val="auto"/>
              </w:rPr>
              <w:t xml:space="preserve">Adjustments </w:t>
            </w:r>
            <w:r>
              <w:rPr>
                <w:rFonts w:ascii="Times New Roman" w:cs="Times New Roman" w:eastAsia="Times New Roman" w:hAnsi="Times New Roman"/>
                <w:sz w:val="17"/>
                <w:szCs w:val="17"/>
                <w:color w:val="auto"/>
                <w:vertAlign w:val="superscript"/>
              </w:rPr>
              <w:t>(2)</w:t>
            </w:r>
          </w:p>
        </w:tc>
        <w:tc>
          <w:tcPr>
            <w:tcW w:w="140" w:type="dxa"/>
            <w:vAlign w:val="bottom"/>
          </w:tcPr>
          <w:p>
            <w:pPr>
              <w:spacing w:after="0"/>
              <w:rPr>
                <w:sz w:val="13"/>
                <w:szCs w:val="13"/>
                <w:color w:val="auto"/>
              </w:rPr>
            </w:pPr>
          </w:p>
        </w:tc>
        <w:tc>
          <w:tcPr>
            <w:tcW w:w="1200" w:type="dxa"/>
            <w:vAlign w:val="bottom"/>
            <w:gridSpan w:val="2"/>
          </w:tcPr>
          <w:p>
            <w:pPr>
              <w:jc w:val="right"/>
              <w:ind w:right="520"/>
              <w:spacing w:after="0"/>
              <w:rPr>
                <w:sz w:val="20"/>
                <w:szCs w:val="20"/>
                <w:color w:val="auto"/>
              </w:rPr>
            </w:pPr>
            <w:r>
              <w:rPr>
                <w:rFonts w:ascii="Times New Roman" w:cs="Times New Roman" w:eastAsia="Times New Roman" w:hAnsi="Times New Roman"/>
                <w:sz w:val="12"/>
                <w:szCs w:val="12"/>
                <w:color w:val="auto"/>
              </w:rPr>
              <w:t>Pro Forma</w:t>
            </w:r>
          </w:p>
        </w:tc>
        <w:tc>
          <w:tcPr>
            <w:tcW w:w="120" w:type="dxa"/>
            <w:vAlign w:val="bottom"/>
          </w:tcPr>
          <w:p>
            <w:pPr>
              <w:spacing w:after="0"/>
              <w:rPr>
                <w:sz w:val="13"/>
                <w:szCs w:val="13"/>
                <w:color w:val="auto"/>
              </w:rPr>
            </w:pPr>
          </w:p>
        </w:tc>
        <w:tc>
          <w:tcPr>
            <w:tcW w:w="1220" w:type="dxa"/>
            <w:vAlign w:val="bottom"/>
            <w:gridSpan w:val="2"/>
          </w:tcPr>
          <w:p>
            <w:pPr>
              <w:jc w:val="right"/>
              <w:ind w:right="400"/>
              <w:spacing w:after="0" w:line="151" w:lineRule="exact"/>
              <w:rPr>
                <w:sz w:val="20"/>
                <w:szCs w:val="20"/>
                <w:color w:val="auto"/>
              </w:rPr>
            </w:pPr>
            <w:r>
              <w:rPr>
                <w:rFonts w:ascii="Times New Roman" w:cs="Times New Roman" w:eastAsia="Times New Roman" w:hAnsi="Times New Roman"/>
                <w:sz w:val="11"/>
                <w:szCs w:val="11"/>
                <w:color w:val="auto"/>
              </w:rPr>
              <w:t xml:space="preserve">As Reported </w:t>
            </w:r>
            <w:r>
              <w:rPr>
                <w:rFonts w:ascii="Times New Roman" w:cs="Times New Roman" w:eastAsia="Times New Roman" w:hAnsi="Times New Roman"/>
                <w:sz w:val="17"/>
                <w:szCs w:val="17"/>
                <w:color w:val="auto"/>
                <w:vertAlign w:val="superscript"/>
              </w:rPr>
              <w:t>(1)</w:t>
            </w:r>
          </w:p>
        </w:tc>
        <w:tc>
          <w:tcPr>
            <w:tcW w:w="120" w:type="dxa"/>
            <w:vAlign w:val="bottom"/>
          </w:tcPr>
          <w:p>
            <w:pPr>
              <w:spacing w:after="0"/>
              <w:rPr>
                <w:sz w:val="13"/>
                <w:szCs w:val="13"/>
                <w:color w:val="auto"/>
              </w:rPr>
            </w:pPr>
          </w:p>
        </w:tc>
        <w:tc>
          <w:tcPr>
            <w:tcW w:w="1220" w:type="dxa"/>
            <w:vAlign w:val="bottom"/>
            <w:gridSpan w:val="2"/>
          </w:tcPr>
          <w:p>
            <w:pPr>
              <w:jc w:val="center"/>
              <w:ind w:right="320"/>
              <w:spacing w:after="0" w:line="151" w:lineRule="exact"/>
              <w:rPr>
                <w:sz w:val="20"/>
                <w:szCs w:val="20"/>
                <w:color w:val="auto"/>
              </w:rPr>
            </w:pPr>
            <w:r>
              <w:rPr>
                <w:rFonts w:ascii="Times New Roman" w:cs="Times New Roman" w:eastAsia="Times New Roman" w:hAnsi="Times New Roman"/>
                <w:sz w:val="11"/>
                <w:szCs w:val="11"/>
                <w:color w:val="auto"/>
              </w:rPr>
              <w:t xml:space="preserve">Adjustments </w:t>
            </w:r>
            <w:r>
              <w:rPr>
                <w:rFonts w:ascii="Times New Roman" w:cs="Times New Roman" w:eastAsia="Times New Roman" w:hAnsi="Times New Roman"/>
                <w:sz w:val="17"/>
                <w:szCs w:val="17"/>
                <w:color w:val="auto"/>
                <w:vertAlign w:val="superscript"/>
              </w:rPr>
              <w:t>(2)</w:t>
            </w:r>
          </w:p>
        </w:tc>
        <w:tc>
          <w:tcPr>
            <w:tcW w:w="160" w:type="dxa"/>
            <w:vAlign w:val="bottom"/>
          </w:tcPr>
          <w:p>
            <w:pPr>
              <w:spacing w:after="0"/>
              <w:rPr>
                <w:sz w:val="13"/>
                <w:szCs w:val="13"/>
                <w:color w:val="auto"/>
              </w:rPr>
            </w:pPr>
          </w:p>
        </w:tc>
        <w:tc>
          <w:tcPr>
            <w:tcW w:w="1080" w:type="dxa"/>
            <w:vAlign w:val="bottom"/>
            <w:gridSpan w:val="2"/>
          </w:tcPr>
          <w:p>
            <w:pPr>
              <w:jc w:val="right"/>
              <w:ind w:right="420"/>
              <w:spacing w:after="0"/>
              <w:rPr>
                <w:sz w:val="20"/>
                <w:szCs w:val="20"/>
                <w:color w:val="auto"/>
              </w:rPr>
            </w:pPr>
            <w:r>
              <w:rPr>
                <w:rFonts w:ascii="Times New Roman" w:cs="Times New Roman" w:eastAsia="Times New Roman" w:hAnsi="Times New Roman"/>
                <w:sz w:val="12"/>
                <w:szCs w:val="12"/>
                <w:color w:val="auto"/>
              </w:rPr>
              <w:t>Pro Forma</w:t>
            </w:r>
          </w:p>
        </w:tc>
      </w:tr>
      <w:tr>
        <w:trPr>
          <w:trHeight w:val="155"/>
        </w:trPr>
        <w:tc>
          <w:tcPr>
            <w:tcW w:w="3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gridSpan w:val="2"/>
          </w:tcPr>
          <w:p>
            <w:pPr>
              <w:jc w:val="right"/>
              <w:ind w:right="500"/>
              <w:spacing w:after="0"/>
              <w:rPr>
                <w:sz w:val="20"/>
                <w:szCs w:val="20"/>
                <w:color w:val="auto"/>
              </w:rPr>
            </w:pPr>
            <w:r>
              <w:rPr>
                <w:rFonts w:ascii="Times New Roman" w:cs="Times New Roman" w:eastAsia="Times New Roman" w:hAnsi="Times New Roman"/>
                <w:sz w:val="12"/>
                <w:szCs w:val="12"/>
                <w:color w:val="auto"/>
              </w:rPr>
              <w:t>Feb 28, 2026</w:t>
            </w:r>
          </w:p>
        </w:tc>
        <w:tc>
          <w:tcPr>
            <w:tcW w:w="120" w:type="dxa"/>
            <w:vAlign w:val="bottom"/>
          </w:tcPr>
          <w:p>
            <w:pPr>
              <w:spacing w:after="0"/>
              <w:rPr>
                <w:sz w:val="13"/>
                <w:szCs w:val="13"/>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2"/>
                <w:szCs w:val="12"/>
                <w:color w:val="auto"/>
                <w:w w:val="98"/>
              </w:rPr>
              <w:t>Feb 28, 2026</w:t>
            </w:r>
          </w:p>
        </w:tc>
        <w:tc>
          <w:tcPr>
            <w:tcW w:w="140" w:type="dxa"/>
            <w:vAlign w:val="bottom"/>
          </w:tcPr>
          <w:p>
            <w:pPr>
              <w:spacing w:after="0"/>
              <w:rPr>
                <w:sz w:val="13"/>
                <w:szCs w:val="13"/>
                <w:color w:val="auto"/>
              </w:rPr>
            </w:pPr>
          </w:p>
        </w:tc>
        <w:tc>
          <w:tcPr>
            <w:tcW w:w="1200" w:type="dxa"/>
            <w:vAlign w:val="bottom"/>
            <w:gridSpan w:val="2"/>
          </w:tcPr>
          <w:p>
            <w:pPr>
              <w:jc w:val="right"/>
              <w:ind w:right="460"/>
              <w:spacing w:after="0"/>
              <w:rPr>
                <w:sz w:val="20"/>
                <w:szCs w:val="20"/>
                <w:color w:val="auto"/>
              </w:rPr>
            </w:pPr>
            <w:r>
              <w:rPr>
                <w:rFonts w:ascii="Times New Roman" w:cs="Times New Roman" w:eastAsia="Times New Roman" w:hAnsi="Times New Roman"/>
                <w:sz w:val="12"/>
                <w:szCs w:val="12"/>
                <w:color w:val="auto"/>
              </w:rPr>
              <w:t>Feb 28, 2026</w:t>
            </w:r>
          </w:p>
        </w:tc>
        <w:tc>
          <w:tcPr>
            <w:tcW w:w="120" w:type="dxa"/>
            <w:vAlign w:val="bottom"/>
          </w:tcPr>
          <w:p>
            <w:pPr>
              <w:spacing w:after="0"/>
              <w:rPr>
                <w:sz w:val="13"/>
                <w:szCs w:val="13"/>
                <w:color w:val="auto"/>
              </w:rPr>
            </w:pPr>
          </w:p>
        </w:tc>
        <w:tc>
          <w:tcPr>
            <w:tcW w:w="1220" w:type="dxa"/>
            <w:vAlign w:val="bottom"/>
            <w:gridSpan w:val="2"/>
          </w:tcPr>
          <w:p>
            <w:pPr>
              <w:jc w:val="right"/>
              <w:ind w:right="460"/>
              <w:spacing w:after="0"/>
              <w:rPr>
                <w:sz w:val="20"/>
                <w:szCs w:val="20"/>
                <w:color w:val="auto"/>
              </w:rPr>
            </w:pPr>
            <w:r>
              <w:rPr>
                <w:rFonts w:ascii="Times New Roman" w:cs="Times New Roman" w:eastAsia="Times New Roman" w:hAnsi="Times New Roman"/>
                <w:sz w:val="12"/>
                <w:szCs w:val="12"/>
                <w:color w:val="auto"/>
              </w:rPr>
              <w:t>Feb 28, 2025</w:t>
            </w:r>
          </w:p>
        </w:tc>
        <w:tc>
          <w:tcPr>
            <w:tcW w:w="120" w:type="dxa"/>
            <w:vAlign w:val="bottom"/>
          </w:tcPr>
          <w:p>
            <w:pPr>
              <w:spacing w:after="0"/>
              <w:rPr>
                <w:sz w:val="13"/>
                <w:szCs w:val="13"/>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2"/>
                <w:szCs w:val="12"/>
                <w:color w:val="auto"/>
              </w:rPr>
              <w:t>Feb 28, 2025</w:t>
            </w:r>
          </w:p>
        </w:tc>
        <w:tc>
          <w:tcPr>
            <w:tcW w:w="160" w:type="dxa"/>
            <w:vAlign w:val="bottom"/>
          </w:tcPr>
          <w:p>
            <w:pPr>
              <w:spacing w:after="0"/>
              <w:rPr>
                <w:sz w:val="13"/>
                <w:szCs w:val="13"/>
                <w:color w:val="auto"/>
              </w:rPr>
            </w:pPr>
          </w:p>
        </w:tc>
        <w:tc>
          <w:tcPr>
            <w:tcW w:w="1080" w:type="dxa"/>
            <w:vAlign w:val="bottom"/>
            <w:gridSpan w:val="2"/>
          </w:tcPr>
          <w:p>
            <w:pPr>
              <w:jc w:val="right"/>
              <w:ind w:right="360"/>
              <w:spacing w:after="0"/>
              <w:rPr>
                <w:sz w:val="20"/>
                <w:szCs w:val="20"/>
                <w:color w:val="auto"/>
              </w:rPr>
            </w:pPr>
            <w:r>
              <w:rPr>
                <w:rFonts w:ascii="Times New Roman" w:cs="Times New Roman" w:eastAsia="Times New Roman" w:hAnsi="Times New Roman"/>
                <w:sz w:val="12"/>
                <w:szCs w:val="12"/>
                <w:color w:val="auto"/>
              </w:rPr>
              <w:t>Feb 28, 2025</w:t>
            </w:r>
          </w:p>
        </w:tc>
      </w:tr>
      <w:tr>
        <w:trPr>
          <w:trHeight w:val="142"/>
        </w:trPr>
        <w:tc>
          <w:tcPr>
            <w:tcW w:w="32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jc w:val="center"/>
              <w:ind w:right="80"/>
              <w:spacing w:after="0"/>
              <w:rPr>
                <w:sz w:val="20"/>
                <w:szCs w:val="20"/>
                <w:color w:val="auto"/>
              </w:rPr>
            </w:pPr>
            <w:r>
              <w:rPr>
                <w:rFonts w:ascii="Times New Roman" w:cs="Times New Roman" w:eastAsia="Times New Roman" w:hAnsi="Times New Roman"/>
                <w:sz w:val="12"/>
                <w:szCs w:val="12"/>
                <w:color w:val="auto"/>
              </w:rPr>
              <w:t>(unaudited)</w:t>
            </w:r>
          </w:p>
        </w:tc>
        <w:tc>
          <w:tcPr>
            <w:tcW w:w="2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jc w:val="center"/>
              <w:ind w:right="60"/>
              <w:spacing w:after="0"/>
              <w:rPr>
                <w:sz w:val="20"/>
                <w:szCs w:val="20"/>
                <w:color w:val="auto"/>
              </w:rPr>
            </w:pPr>
            <w:r>
              <w:rPr>
                <w:rFonts w:ascii="Times New Roman" w:cs="Times New Roman" w:eastAsia="Times New Roman" w:hAnsi="Times New Roman"/>
                <w:sz w:val="12"/>
                <w:szCs w:val="12"/>
                <w:color w:val="auto"/>
              </w:rPr>
              <w:t>(unaudited)</w:t>
            </w: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Net loss</w:t>
            </w:r>
          </w:p>
        </w:tc>
        <w:tc>
          <w:tcPr>
            <w:tcW w:w="12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(8,084)</w:t>
            </w:r>
          </w:p>
        </w:tc>
        <w:tc>
          <w:tcPr>
            <w:tcW w:w="12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(5,002)</w:t>
            </w:r>
          </w:p>
        </w:tc>
        <w:tc>
          <w:tcPr>
            <w:tcW w:w="14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(13,086)</w:t>
            </w:r>
          </w:p>
        </w:tc>
        <w:tc>
          <w:tcPr>
            <w:tcW w:w="12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(4,407)</w:t>
            </w:r>
          </w:p>
        </w:tc>
        <w:tc>
          <w:tcPr>
            <w:tcW w:w="12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(5,494)</w:t>
            </w:r>
          </w:p>
        </w:tc>
        <w:tc>
          <w:tcPr>
            <w:tcW w:w="16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(9,901)</w:t>
            </w:r>
          </w:p>
        </w:tc>
      </w:tr>
      <w:tr>
        <w:trPr>
          <w:trHeight w:val="144"/>
        </w:trPr>
        <w:tc>
          <w:tcPr>
            <w:tcW w:w="3280" w:type="dxa"/>
            <w:vAlign w:val="bottom"/>
          </w:tcPr>
          <w:p>
            <w:pPr>
              <w:spacing w:after="0"/>
              <w:rPr>
                <w:sz w:val="20"/>
                <w:szCs w:val="20"/>
                <w:color w:val="auto"/>
              </w:rPr>
            </w:pPr>
            <w:r>
              <w:rPr>
                <w:rFonts w:ascii="Times New Roman" w:cs="Times New Roman" w:eastAsia="Times New Roman" w:hAnsi="Times New Roman"/>
                <w:sz w:val="12"/>
                <w:szCs w:val="12"/>
                <w:color w:val="auto"/>
              </w:rPr>
              <w:t>Income tax expense</w:t>
            </w:r>
          </w:p>
        </w:tc>
        <w:tc>
          <w:tcPr>
            <w:tcW w:w="12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2"/>
                <w:szCs w:val="12"/>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12</w:t>
            </w:r>
          </w:p>
        </w:tc>
        <w:tc>
          <w:tcPr>
            <w:tcW w:w="120" w:type="dxa"/>
            <w:vAlign w:val="bottom"/>
          </w:tcPr>
          <w:p>
            <w:pPr>
              <w:spacing w:after="0"/>
              <w:rPr>
                <w:sz w:val="12"/>
                <w:szCs w:val="12"/>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(2)</w:t>
            </w:r>
          </w:p>
        </w:tc>
        <w:tc>
          <w:tcPr>
            <w:tcW w:w="120" w:type="dxa"/>
            <w:vAlign w:val="bottom"/>
          </w:tcPr>
          <w:p>
            <w:pPr>
              <w:spacing w:after="0"/>
              <w:rPr>
                <w:sz w:val="12"/>
                <w:szCs w:val="12"/>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2"/>
                <w:szCs w:val="12"/>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(2)</w:t>
            </w:r>
          </w:p>
        </w:tc>
      </w:tr>
      <w:tr>
        <w:trPr>
          <w:trHeight w:val="144"/>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Interest expense (income), net</w:t>
            </w: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88</w:t>
            </w: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88</w:t>
            </w:r>
          </w:p>
        </w:tc>
        <w:tc>
          <w:tcPr>
            <w:tcW w:w="12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(135)</w:t>
            </w:r>
          </w:p>
        </w:tc>
        <w:tc>
          <w:tcPr>
            <w:tcW w:w="12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(135)</w:t>
            </w:r>
          </w:p>
        </w:tc>
      </w:tr>
      <w:tr>
        <w:trPr>
          <w:trHeight w:val="144"/>
        </w:trPr>
        <w:tc>
          <w:tcPr>
            <w:tcW w:w="3280" w:type="dxa"/>
            <w:vAlign w:val="bottom"/>
          </w:tcPr>
          <w:p>
            <w:pPr>
              <w:spacing w:after="0"/>
              <w:rPr>
                <w:sz w:val="20"/>
                <w:szCs w:val="20"/>
                <w:color w:val="auto"/>
              </w:rPr>
            </w:pPr>
            <w:r>
              <w:rPr>
                <w:rFonts w:ascii="Times New Roman" w:cs="Times New Roman" w:eastAsia="Times New Roman" w:hAnsi="Times New Roman"/>
                <w:sz w:val="12"/>
                <w:szCs w:val="12"/>
                <w:color w:val="auto"/>
              </w:rPr>
              <w:t>Depreciation and amortization</w:t>
            </w:r>
          </w:p>
        </w:tc>
        <w:tc>
          <w:tcPr>
            <w:tcW w:w="12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5,591</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2"/>
                <w:szCs w:val="12"/>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5,591</w:t>
            </w:r>
          </w:p>
        </w:tc>
        <w:tc>
          <w:tcPr>
            <w:tcW w:w="120" w:type="dxa"/>
            <w:vAlign w:val="bottom"/>
          </w:tcPr>
          <w:p>
            <w:pPr>
              <w:spacing w:after="0"/>
              <w:rPr>
                <w:sz w:val="12"/>
                <w:szCs w:val="12"/>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6,319</w:t>
            </w:r>
          </w:p>
        </w:tc>
        <w:tc>
          <w:tcPr>
            <w:tcW w:w="120" w:type="dxa"/>
            <w:vAlign w:val="bottom"/>
          </w:tcPr>
          <w:p>
            <w:pPr>
              <w:spacing w:after="0"/>
              <w:rPr>
                <w:sz w:val="12"/>
                <w:szCs w:val="12"/>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2"/>
                <w:szCs w:val="12"/>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6,319</w:t>
            </w:r>
          </w:p>
        </w:tc>
      </w:tr>
      <w:tr>
        <w:trPr>
          <w:trHeight w:val="144"/>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Change in fair value of contingent consideration</w:t>
            </w:r>
          </w:p>
        </w:tc>
        <w:tc>
          <w:tcPr>
            <w:tcW w:w="12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40</w:t>
            </w:r>
          </w:p>
        </w:tc>
        <w:tc>
          <w:tcPr>
            <w:tcW w:w="12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40</w:t>
            </w:r>
          </w:p>
        </w:tc>
      </w:tr>
      <w:tr>
        <w:trPr>
          <w:trHeight w:val="144"/>
        </w:trPr>
        <w:tc>
          <w:tcPr>
            <w:tcW w:w="3280" w:type="dxa"/>
            <w:vAlign w:val="bottom"/>
          </w:tcPr>
          <w:p>
            <w:pPr>
              <w:spacing w:after="0"/>
              <w:rPr>
                <w:sz w:val="20"/>
                <w:szCs w:val="20"/>
                <w:color w:val="auto"/>
              </w:rPr>
            </w:pPr>
            <w:r>
              <w:rPr>
                <w:rFonts w:ascii="Times New Roman" w:cs="Times New Roman" w:eastAsia="Times New Roman" w:hAnsi="Times New Roman"/>
                <w:sz w:val="12"/>
                <w:szCs w:val="12"/>
                <w:color w:val="auto"/>
              </w:rPr>
              <w:t>Stock based compensation</w:t>
            </w:r>
          </w:p>
        </w:tc>
        <w:tc>
          <w:tcPr>
            <w:tcW w:w="12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2,684</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2"/>
                <w:szCs w:val="12"/>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2,684</w:t>
            </w:r>
          </w:p>
        </w:tc>
        <w:tc>
          <w:tcPr>
            <w:tcW w:w="120" w:type="dxa"/>
            <w:vAlign w:val="bottom"/>
          </w:tcPr>
          <w:p>
            <w:pPr>
              <w:spacing w:after="0"/>
              <w:rPr>
                <w:sz w:val="12"/>
                <w:szCs w:val="12"/>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2,398</w:t>
            </w:r>
          </w:p>
        </w:tc>
        <w:tc>
          <w:tcPr>
            <w:tcW w:w="120" w:type="dxa"/>
            <w:vAlign w:val="bottom"/>
          </w:tcPr>
          <w:p>
            <w:pPr>
              <w:spacing w:after="0"/>
              <w:rPr>
                <w:sz w:val="12"/>
                <w:szCs w:val="12"/>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2"/>
                <w:szCs w:val="12"/>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2,398</w:t>
            </w:r>
          </w:p>
        </w:tc>
      </w:tr>
      <w:tr>
        <w:trPr>
          <w:trHeight w:val="144"/>
        </w:trPr>
        <w:tc>
          <w:tcPr>
            <w:tcW w:w="3280" w:type="dxa"/>
            <w:vAlign w:val="bottom"/>
            <w:shd w:val="clear" w:color="auto" w:fill="CCEEFF"/>
          </w:tcPr>
          <w:p>
            <w:pPr>
              <w:spacing w:after="0" w:line="144" w:lineRule="exact"/>
              <w:rPr>
                <w:sz w:val="20"/>
                <w:szCs w:val="20"/>
                <w:color w:val="auto"/>
              </w:rPr>
            </w:pPr>
            <w:r>
              <w:rPr>
                <w:rFonts w:ascii="Times New Roman" w:cs="Times New Roman" w:eastAsia="Times New Roman" w:hAnsi="Times New Roman"/>
                <w:sz w:val="10"/>
                <w:szCs w:val="10"/>
                <w:color w:val="auto"/>
              </w:rPr>
              <w:t xml:space="preserve">Acquisition, restructuring and other items, net </w:t>
            </w:r>
            <w:r>
              <w:rPr>
                <w:rFonts w:ascii="Times New Roman" w:cs="Times New Roman" w:eastAsia="Times New Roman" w:hAnsi="Times New Roman"/>
                <w:sz w:val="16"/>
                <w:szCs w:val="16"/>
                <w:color w:val="auto"/>
                <w:vertAlign w:val="superscript"/>
              </w:rPr>
              <w:t>(3)</w:t>
            </w: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6,522</w:t>
            </w: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6,522</w:t>
            </w:r>
          </w:p>
        </w:tc>
        <w:tc>
          <w:tcPr>
            <w:tcW w:w="12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2,623</w:t>
            </w:r>
          </w:p>
        </w:tc>
        <w:tc>
          <w:tcPr>
            <w:tcW w:w="12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(3)</w:t>
            </w:r>
          </w:p>
        </w:tc>
        <w:tc>
          <w:tcPr>
            <w:tcW w:w="1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2,620</w:t>
            </w:r>
          </w:p>
        </w:tc>
      </w:tr>
      <w:tr>
        <w:trPr>
          <w:trHeight w:val="20"/>
        </w:trPr>
        <w:tc>
          <w:tcPr>
            <w:tcW w:w="32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42"/>
        </w:trPr>
        <w:tc>
          <w:tcPr>
            <w:tcW w:w="328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Adjusted EBITDA</w:t>
            </w:r>
          </w:p>
        </w:tc>
        <w:tc>
          <w:tcPr>
            <w:tcW w:w="1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6,813</w:t>
            </w:r>
          </w:p>
        </w:tc>
        <w:tc>
          <w:tcPr>
            <w:tcW w:w="240" w:type="dxa"/>
            <w:vAlign w:val="bottom"/>
          </w:tcPr>
          <w:p>
            <w:pPr>
              <w:spacing w:after="0"/>
              <w:rPr>
                <w:sz w:val="12"/>
                <w:szCs w:val="12"/>
                <w:color w:val="auto"/>
              </w:rPr>
            </w:pPr>
          </w:p>
        </w:tc>
        <w:tc>
          <w:tcPr>
            <w:tcW w:w="1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(5,002)</w:t>
            </w:r>
          </w:p>
        </w:tc>
        <w:tc>
          <w:tcPr>
            <w:tcW w:w="1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1,811</w:t>
            </w:r>
          </w:p>
        </w:tc>
        <w:tc>
          <w:tcPr>
            <w:tcW w:w="1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6,836</w:t>
            </w:r>
          </w:p>
        </w:tc>
        <w:tc>
          <w:tcPr>
            <w:tcW w:w="1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(5,497)</w:t>
            </w:r>
          </w:p>
        </w:tc>
        <w:tc>
          <w:tcPr>
            <w:tcW w:w="1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1,339</w:t>
            </w:r>
          </w:p>
        </w:tc>
      </w:tr>
      <w:tr>
        <w:trPr>
          <w:trHeight w:val="20"/>
        </w:trPr>
        <w:tc>
          <w:tcPr>
            <w:tcW w:w="3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33" w:lineRule="exact"/>
        <w:rPr>
          <w:sz w:val="20"/>
          <w:szCs w:val="20"/>
          <w:color w:val="auto"/>
        </w:rPr>
      </w:pPr>
    </w:p>
    <w:p>
      <w:pPr>
        <w:ind w:left="8" w:right="260" w:hanging="8"/>
        <w:spacing w:after="0" w:line="279" w:lineRule="auto"/>
        <w:tabs>
          <w:tab w:leader="none" w:pos="208"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Reflects the Company's US GAAP consolidated financial statements before pro forma adjustments related to the sale of the Dialysis and BioSentry Businesses on June 8, 2023, the sale of the PICCs and Midlines Businesses on February 15, 2024 and the discontinuation of the RadioFrequency Ablation and Syntrax products ("the Businesses") as of February 29, 2024, for the three months ended February 28, 2026 and 2025, respectively .</w:t>
      </w:r>
    </w:p>
    <w:p>
      <w:pPr>
        <w:spacing w:after="0" w:line="111" w:lineRule="exact"/>
        <w:rPr>
          <w:rFonts w:ascii="Times New Roman" w:cs="Times New Roman" w:eastAsia="Times New Roman" w:hAnsi="Times New Roman"/>
          <w:sz w:val="12"/>
          <w:szCs w:val="12"/>
          <w:color w:val="auto"/>
        </w:rPr>
      </w:pPr>
    </w:p>
    <w:p>
      <w:pPr>
        <w:ind w:left="168" w:hanging="168"/>
        <w:spacing w:after="0"/>
        <w:tabs>
          <w:tab w:leader="none" w:pos="168"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Reflects the elimination of revenues and expenses representing the operating results from the sales and discontinuation of the Businesses.</w:t>
      </w:r>
    </w:p>
    <w:p>
      <w:pPr>
        <w:spacing w:after="0" w:line="150" w:lineRule="exact"/>
        <w:rPr>
          <w:rFonts w:ascii="Times New Roman" w:cs="Times New Roman" w:eastAsia="Times New Roman" w:hAnsi="Times New Roman"/>
          <w:sz w:val="12"/>
          <w:szCs w:val="12"/>
          <w:color w:val="auto"/>
        </w:rPr>
      </w:pPr>
    </w:p>
    <w:p>
      <w:pPr>
        <w:ind w:left="208" w:hanging="208"/>
        <w:spacing w:after="0"/>
        <w:tabs>
          <w:tab w:leader="none" w:pos="208"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Includes costs related to merger and acquisition activities, restructuring, and unusual items, including asset impairments and write-offs, certain litigation, and other items.</w:t>
      </w:r>
    </w:p>
    <w:p>
      <w:pPr>
        <w:spacing w:after="0" w:line="263"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0"/>
          <w:szCs w:val="1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21590</wp:posOffset>
            </wp:positionV>
            <wp:extent cx="7178040" cy="114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8"/>
          </w:cols>
          <w:pgMar w:left="292" w:top="125" w:right="299" w:bottom="1440" w:gutter="0" w:footer="0" w:header="0"/>
        </w:sectPr>
      </w:pPr>
    </w:p>
    <w:bookmarkStart w:id="13" w:name="page14"/>
    <w:bookmarkEnd w:id="13"/>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ANGIODYNAMICS, INC. AND SUBSIDIARIES</w:t>
      </w:r>
    </w:p>
    <w:p>
      <w:pPr>
        <w:spacing w:after="0" w:line="2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GAAP TO NON-GAAP RECONCILIATION</w:t>
      </w:r>
    </w:p>
    <w:p>
      <w:pPr>
        <w:spacing w:after="0" w:line="6"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(in thousands, except per share data)</w:t>
      </w:r>
    </w:p>
    <w:p>
      <w:pPr>
        <w:spacing w:after="0" w:line="135" w:lineRule="exact"/>
        <w:rPr>
          <w:sz w:val="20"/>
          <w:szCs w:val="20"/>
          <w:color w:val="auto"/>
        </w:rPr>
      </w:pPr>
    </w:p>
    <w:tbl>
      <w:tblPr>
        <w:tblLayout w:type="fixed"/>
        <w:tblInd w:w="8" w:type="dxa"/>
        <w:tblCellMar>
          <w:top w:w="0" w:type="dxa"/>
          <w:left w:w="0" w:type="dxa"/>
          <w:bottom w:w="0" w:type="dxa"/>
          <w:right w:w="0" w:type="dxa"/>
        </w:tblCellMar>
      </w:tblPr>
      <w:tr>
        <w:trPr>
          <w:trHeight w:val="159"/>
        </w:trPr>
        <w:tc>
          <w:tcPr>
            <w:tcW w:w="6040" w:type="dxa"/>
            <w:vAlign w:val="bottom"/>
            <w:gridSpan w:val="7"/>
          </w:tcPr>
          <w:p>
            <w:pPr>
              <w:spacing w:after="0"/>
              <w:rPr>
                <w:sz w:val="20"/>
                <w:szCs w:val="20"/>
                <w:color w:val="auto"/>
              </w:rPr>
            </w:pPr>
            <w:r>
              <w:rPr>
                <w:rFonts w:ascii="Times New Roman" w:cs="Times New Roman" w:eastAsia="Times New Roman" w:hAnsi="Times New Roman"/>
                <w:sz w:val="12"/>
                <w:szCs w:val="12"/>
                <w:b w:val="1"/>
                <w:bCs w:val="1"/>
                <w:color w:val="auto"/>
              </w:rPr>
              <w:t>Reconciliation of Net Loss to non-GAAP Adjusted Net Loss and Pro Forma Adjusted Net Loss:</w:t>
            </w: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88"/>
        </w:trPr>
        <w:tc>
          <w:tcPr>
            <w:tcW w:w="32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gridSpan w:val="5"/>
          </w:tcPr>
          <w:p>
            <w:pPr>
              <w:jc w:val="right"/>
              <w:ind w:right="1000"/>
              <w:spacing w:after="0"/>
              <w:rPr>
                <w:sz w:val="20"/>
                <w:szCs w:val="20"/>
                <w:color w:val="auto"/>
              </w:rPr>
            </w:pPr>
            <w:r>
              <w:rPr>
                <w:rFonts w:ascii="Times New Roman" w:cs="Times New Roman" w:eastAsia="Times New Roman" w:hAnsi="Times New Roman"/>
                <w:sz w:val="12"/>
                <w:szCs w:val="12"/>
                <w:color w:val="auto"/>
              </w:rPr>
              <w:t>Nine Months Ended</w:t>
            </w: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24"/>
        </w:trPr>
        <w:tc>
          <w:tcPr>
            <w:tcW w:w="3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60" w:type="dxa"/>
            <w:vAlign w:val="bottom"/>
            <w:gridSpan w:val="2"/>
          </w:tcPr>
          <w:p>
            <w:pPr>
              <w:jc w:val="center"/>
              <w:ind w:right="360"/>
              <w:spacing w:after="0" w:line="124" w:lineRule="exact"/>
              <w:rPr>
                <w:sz w:val="20"/>
                <w:szCs w:val="20"/>
                <w:color w:val="auto"/>
              </w:rPr>
            </w:pPr>
            <w:r>
              <w:rPr>
                <w:rFonts w:ascii="Times New Roman" w:cs="Times New Roman" w:eastAsia="Times New Roman" w:hAnsi="Times New Roman"/>
                <w:sz w:val="12"/>
                <w:szCs w:val="12"/>
                <w:color w:val="auto"/>
                <w:w w:val="97"/>
              </w:rPr>
              <w:t>Pro Forma</w:t>
            </w:r>
          </w:p>
        </w:tc>
        <w:tc>
          <w:tcPr>
            <w:tcW w:w="1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20" w:type="dxa"/>
            <w:vAlign w:val="bottom"/>
            <w:gridSpan w:val="2"/>
          </w:tcPr>
          <w:p>
            <w:pPr>
              <w:jc w:val="center"/>
              <w:ind w:right="340"/>
              <w:spacing w:after="0" w:line="124" w:lineRule="exact"/>
              <w:rPr>
                <w:sz w:val="20"/>
                <w:szCs w:val="20"/>
                <w:color w:val="auto"/>
              </w:rPr>
            </w:pPr>
            <w:r>
              <w:rPr>
                <w:rFonts w:ascii="Times New Roman" w:cs="Times New Roman" w:eastAsia="Times New Roman" w:hAnsi="Times New Roman"/>
                <w:sz w:val="12"/>
                <w:szCs w:val="12"/>
                <w:color w:val="auto"/>
              </w:rPr>
              <w:t>Pro Forma</w:t>
            </w:r>
          </w:p>
        </w:tc>
        <w:tc>
          <w:tcPr>
            <w:tcW w:w="1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51"/>
        </w:trPr>
        <w:tc>
          <w:tcPr>
            <w:tcW w:w="3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gridSpan w:val="2"/>
          </w:tcPr>
          <w:p>
            <w:pPr>
              <w:jc w:val="center"/>
              <w:ind w:right="360"/>
              <w:spacing w:after="0" w:line="151" w:lineRule="exact"/>
              <w:rPr>
                <w:sz w:val="20"/>
                <w:szCs w:val="20"/>
                <w:color w:val="auto"/>
              </w:rPr>
            </w:pPr>
            <w:r>
              <w:rPr>
                <w:rFonts w:ascii="Times New Roman" w:cs="Times New Roman" w:eastAsia="Times New Roman" w:hAnsi="Times New Roman"/>
                <w:sz w:val="11"/>
                <w:szCs w:val="11"/>
                <w:color w:val="auto"/>
              </w:rPr>
              <w:t xml:space="preserve">As Reported </w:t>
            </w:r>
            <w:r>
              <w:rPr>
                <w:rFonts w:ascii="Times New Roman" w:cs="Times New Roman" w:eastAsia="Times New Roman" w:hAnsi="Times New Roman"/>
                <w:sz w:val="17"/>
                <w:szCs w:val="17"/>
                <w:color w:val="auto"/>
                <w:vertAlign w:val="superscript"/>
              </w:rPr>
              <w:t>(1)</w:t>
            </w:r>
          </w:p>
        </w:tc>
        <w:tc>
          <w:tcPr>
            <w:tcW w:w="120" w:type="dxa"/>
            <w:vAlign w:val="bottom"/>
          </w:tcPr>
          <w:p>
            <w:pPr>
              <w:spacing w:after="0"/>
              <w:rPr>
                <w:sz w:val="13"/>
                <w:szCs w:val="13"/>
                <w:color w:val="auto"/>
              </w:rPr>
            </w:pPr>
          </w:p>
        </w:tc>
        <w:tc>
          <w:tcPr>
            <w:tcW w:w="1260" w:type="dxa"/>
            <w:vAlign w:val="bottom"/>
            <w:gridSpan w:val="2"/>
          </w:tcPr>
          <w:p>
            <w:pPr>
              <w:jc w:val="center"/>
              <w:ind w:right="360"/>
              <w:spacing w:after="0" w:line="151" w:lineRule="exact"/>
              <w:rPr>
                <w:sz w:val="20"/>
                <w:szCs w:val="20"/>
                <w:color w:val="auto"/>
              </w:rPr>
            </w:pPr>
            <w:r>
              <w:rPr>
                <w:rFonts w:ascii="Times New Roman" w:cs="Times New Roman" w:eastAsia="Times New Roman" w:hAnsi="Times New Roman"/>
                <w:sz w:val="11"/>
                <w:szCs w:val="11"/>
                <w:color w:val="auto"/>
              </w:rPr>
              <w:t xml:space="preserve">Adjustments </w:t>
            </w:r>
            <w:r>
              <w:rPr>
                <w:rFonts w:ascii="Times New Roman" w:cs="Times New Roman" w:eastAsia="Times New Roman" w:hAnsi="Times New Roman"/>
                <w:sz w:val="17"/>
                <w:szCs w:val="17"/>
                <w:color w:val="auto"/>
                <w:vertAlign w:val="superscript"/>
              </w:rPr>
              <w:t>(2)</w:t>
            </w:r>
          </w:p>
        </w:tc>
        <w:tc>
          <w:tcPr>
            <w:tcW w:w="140" w:type="dxa"/>
            <w:vAlign w:val="bottom"/>
          </w:tcPr>
          <w:p>
            <w:pPr>
              <w:spacing w:after="0"/>
              <w:rPr>
                <w:sz w:val="13"/>
                <w:szCs w:val="13"/>
                <w:color w:val="auto"/>
              </w:rPr>
            </w:pPr>
          </w:p>
        </w:tc>
        <w:tc>
          <w:tcPr>
            <w:tcW w:w="1200" w:type="dxa"/>
            <w:vAlign w:val="bottom"/>
            <w:gridSpan w:val="2"/>
          </w:tcPr>
          <w:p>
            <w:pPr>
              <w:jc w:val="center"/>
              <w:ind w:right="360"/>
              <w:spacing w:after="0"/>
              <w:rPr>
                <w:sz w:val="20"/>
                <w:szCs w:val="20"/>
                <w:color w:val="auto"/>
              </w:rPr>
            </w:pPr>
            <w:r>
              <w:rPr>
                <w:rFonts w:ascii="Times New Roman" w:cs="Times New Roman" w:eastAsia="Times New Roman" w:hAnsi="Times New Roman"/>
                <w:sz w:val="12"/>
                <w:szCs w:val="12"/>
                <w:color w:val="auto"/>
              </w:rPr>
              <w:t>Pro Forma</w:t>
            </w:r>
          </w:p>
        </w:tc>
        <w:tc>
          <w:tcPr>
            <w:tcW w:w="120" w:type="dxa"/>
            <w:vAlign w:val="bottom"/>
          </w:tcPr>
          <w:p>
            <w:pPr>
              <w:spacing w:after="0"/>
              <w:rPr>
                <w:sz w:val="13"/>
                <w:szCs w:val="13"/>
                <w:color w:val="auto"/>
              </w:rPr>
            </w:pPr>
          </w:p>
        </w:tc>
        <w:tc>
          <w:tcPr>
            <w:tcW w:w="1220" w:type="dxa"/>
            <w:vAlign w:val="bottom"/>
            <w:gridSpan w:val="2"/>
          </w:tcPr>
          <w:p>
            <w:pPr>
              <w:jc w:val="center"/>
              <w:ind w:right="320"/>
              <w:spacing w:after="0" w:line="151" w:lineRule="exact"/>
              <w:rPr>
                <w:sz w:val="20"/>
                <w:szCs w:val="20"/>
                <w:color w:val="auto"/>
              </w:rPr>
            </w:pPr>
            <w:r>
              <w:rPr>
                <w:rFonts w:ascii="Times New Roman" w:cs="Times New Roman" w:eastAsia="Times New Roman" w:hAnsi="Times New Roman"/>
                <w:sz w:val="11"/>
                <w:szCs w:val="11"/>
                <w:color w:val="auto"/>
              </w:rPr>
              <w:t xml:space="preserve">As Reported </w:t>
            </w:r>
            <w:r>
              <w:rPr>
                <w:rFonts w:ascii="Times New Roman" w:cs="Times New Roman" w:eastAsia="Times New Roman" w:hAnsi="Times New Roman"/>
                <w:sz w:val="17"/>
                <w:szCs w:val="17"/>
                <w:color w:val="auto"/>
                <w:vertAlign w:val="superscript"/>
              </w:rPr>
              <w:t>(1)</w:t>
            </w:r>
          </w:p>
        </w:tc>
        <w:tc>
          <w:tcPr>
            <w:tcW w:w="120" w:type="dxa"/>
            <w:vAlign w:val="bottom"/>
          </w:tcPr>
          <w:p>
            <w:pPr>
              <w:spacing w:after="0"/>
              <w:rPr>
                <w:sz w:val="13"/>
                <w:szCs w:val="13"/>
                <w:color w:val="auto"/>
              </w:rPr>
            </w:pPr>
          </w:p>
        </w:tc>
        <w:tc>
          <w:tcPr>
            <w:tcW w:w="1220" w:type="dxa"/>
            <w:vAlign w:val="bottom"/>
            <w:gridSpan w:val="2"/>
          </w:tcPr>
          <w:p>
            <w:pPr>
              <w:jc w:val="center"/>
              <w:ind w:right="320"/>
              <w:spacing w:after="0" w:line="151" w:lineRule="exact"/>
              <w:rPr>
                <w:sz w:val="20"/>
                <w:szCs w:val="20"/>
                <w:color w:val="auto"/>
              </w:rPr>
            </w:pPr>
            <w:r>
              <w:rPr>
                <w:rFonts w:ascii="Times New Roman" w:cs="Times New Roman" w:eastAsia="Times New Roman" w:hAnsi="Times New Roman"/>
                <w:sz w:val="11"/>
                <w:szCs w:val="11"/>
                <w:color w:val="auto"/>
              </w:rPr>
              <w:t xml:space="preserve">Adjustments </w:t>
            </w:r>
            <w:r>
              <w:rPr>
                <w:rFonts w:ascii="Times New Roman" w:cs="Times New Roman" w:eastAsia="Times New Roman" w:hAnsi="Times New Roman"/>
                <w:sz w:val="17"/>
                <w:szCs w:val="17"/>
                <w:color w:val="auto"/>
                <w:vertAlign w:val="superscript"/>
              </w:rPr>
              <w:t>(2)</w:t>
            </w:r>
          </w:p>
        </w:tc>
        <w:tc>
          <w:tcPr>
            <w:tcW w:w="160" w:type="dxa"/>
            <w:vAlign w:val="bottom"/>
          </w:tcPr>
          <w:p>
            <w:pPr>
              <w:spacing w:after="0"/>
              <w:rPr>
                <w:sz w:val="13"/>
                <w:szCs w:val="13"/>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2"/>
                <w:szCs w:val="12"/>
                <w:color w:val="auto"/>
                <w:w w:val="97"/>
              </w:rPr>
              <w:t>Pro Forma</w:t>
            </w:r>
          </w:p>
        </w:tc>
      </w:tr>
      <w:tr>
        <w:trPr>
          <w:trHeight w:val="155"/>
        </w:trPr>
        <w:tc>
          <w:tcPr>
            <w:tcW w:w="3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2"/>
                <w:szCs w:val="12"/>
                <w:color w:val="auto"/>
                <w:w w:val="98"/>
              </w:rPr>
              <w:t>Feb 28, 2026</w:t>
            </w:r>
          </w:p>
        </w:tc>
        <w:tc>
          <w:tcPr>
            <w:tcW w:w="120" w:type="dxa"/>
            <w:vAlign w:val="bottom"/>
          </w:tcPr>
          <w:p>
            <w:pPr>
              <w:spacing w:after="0"/>
              <w:rPr>
                <w:sz w:val="13"/>
                <w:szCs w:val="13"/>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2"/>
                <w:szCs w:val="12"/>
                <w:color w:val="auto"/>
                <w:w w:val="98"/>
              </w:rPr>
              <w:t>Feb 28, 2026</w:t>
            </w:r>
          </w:p>
        </w:tc>
        <w:tc>
          <w:tcPr>
            <w:tcW w:w="140" w:type="dxa"/>
            <w:vAlign w:val="bottom"/>
          </w:tcPr>
          <w:p>
            <w:pPr>
              <w:spacing w:after="0"/>
              <w:rPr>
                <w:sz w:val="13"/>
                <w:szCs w:val="13"/>
                <w:color w:val="auto"/>
              </w:rPr>
            </w:pPr>
          </w:p>
        </w:tc>
        <w:tc>
          <w:tcPr>
            <w:tcW w:w="1200" w:type="dxa"/>
            <w:vAlign w:val="bottom"/>
            <w:gridSpan w:val="2"/>
          </w:tcPr>
          <w:p>
            <w:pPr>
              <w:jc w:val="center"/>
              <w:ind w:right="360"/>
              <w:spacing w:after="0"/>
              <w:rPr>
                <w:sz w:val="20"/>
                <w:szCs w:val="20"/>
                <w:color w:val="auto"/>
              </w:rPr>
            </w:pPr>
            <w:r>
              <w:rPr>
                <w:rFonts w:ascii="Times New Roman" w:cs="Times New Roman" w:eastAsia="Times New Roman" w:hAnsi="Times New Roman"/>
                <w:sz w:val="12"/>
                <w:szCs w:val="12"/>
                <w:color w:val="auto"/>
              </w:rPr>
              <w:t>Feb 28, 2026</w:t>
            </w:r>
          </w:p>
        </w:tc>
        <w:tc>
          <w:tcPr>
            <w:tcW w:w="120" w:type="dxa"/>
            <w:vAlign w:val="bottom"/>
          </w:tcPr>
          <w:p>
            <w:pPr>
              <w:spacing w:after="0"/>
              <w:rPr>
                <w:sz w:val="13"/>
                <w:szCs w:val="13"/>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2"/>
                <w:szCs w:val="12"/>
                <w:color w:val="auto"/>
              </w:rPr>
              <w:t>Feb 28, 2025</w:t>
            </w:r>
          </w:p>
        </w:tc>
        <w:tc>
          <w:tcPr>
            <w:tcW w:w="120" w:type="dxa"/>
            <w:vAlign w:val="bottom"/>
          </w:tcPr>
          <w:p>
            <w:pPr>
              <w:spacing w:after="0"/>
              <w:rPr>
                <w:sz w:val="13"/>
                <w:szCs w:val="13"/>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2"/>
                <w:szCs w:val="12"/>
                <w:color w:val="auto"/>
              </w:rPr>
              <w:t>Feb 28, 2025</w:t>
            </w:r>
          </w:p>
        </w:tc>
        <w:tc>
          <w:tcPr>
            <w:tcW w:w="160" w:type="dxa"/>
            <w:vAlign w:val="bottom"/>
          </w:tcPr>
          <w:p>
            <w:pPr>
              <w:spacing w:after="0"/>
              <w:rPr>
                <w:sz w:val="13"/>
                <w:szCs w:val="13"/>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2"/>
                <w:szCs w:val="12"/>
                <w:color w:val="auto"/>
                <w:w w:val="98"/>
              </w:rPr>
              <w:t>Feb 28, 2025</w:t>
            </w:r>
          </w:p>
        </w:tc>
      </w:tr>
      <w:tr>
        <w:trPr>
          <w:trHeight w:val="153"/>
        </w:trPr>
        <w:tc>
          <w:tcPr>
            <w:tcW w:w="32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jc w:val="center"/>
              <w:ind w:right="81"/>
              <w:spacing w:after="0"/>
              <w:rPr>
                <w:sz w:val="20"/>
                <w:szCs w:val="20"/>
                <w:color w:val="auto"/>
              </w:rPr>
            </w:pPr>
            <w:r>
              <w:rPr>
                <w:rFonts w:ascii="Times New Roman" w:cs="Times New Roman" w:eastAsia="Times New Roman" w:hAnsi="Times New Roman"/>
                <w:sz w:val="12"/>
                <w:szCs w:val="12"/>
                <w:color w:val="auto"/>
              </w:rPr>
              <w:t>(unaudited)</w:t>
            </w:r>
          </w:p>
        </w:tc>
        <w:tc>
          <w:tcPr>
            <w:tcW w:w="24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jc w:val="center"/>
              <w:ind w:right="61"/>
              <w:spacing w:after="0"/>
              <w:rPr>
                <w:sz w:val="20"/>
                <w:szCs w:val="20"/>
                <w:color w:val="auto"/>
              </w:rPr>
            </w:pPr>
            <w:r>
              <w:rPr>
                <w:rFonts w:ascii="Times New Roman" w:cs="Times New Roman" w:eastAsia="Times New Roman" w:hAnsi="Times New Roman"/>
                <w:sz w:val="12"/>
                <w:szCs w:val="12"/>
                <w:color w:val="auto"/>
              </w:rPr>
              <w:t>(unaudited)</w:t>
            </w:r>
          </w:p>
        </w:tc>
        <w:tc>
          <w:tcPr>
            <w:tcW w:w="2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33"/>
        </w:trPr>
        <w:tc>
          <w:tcPr>
            <w:tcW w:w="3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gridSpan w:val="2"/>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2"/>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2"/>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gridSpan w:val="2"/>
          </w:tcPr>
          <w:p>
            <w:pPr>
              <w:spacing w:after="0"/>
              <w:rPr>
                <w:sz w:val="11"/>
                <w:szCs w:val="11"/>
                <w:color w:val="auto"/>
              </w:rPr>
            </w:pPr>
          </w:p>
        </w:tc>
      </w:tr>
      <w:tr>
        <w:trPr>
          <w:trHeight w:val="144"/>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Net loss</w:t>
            </w:r>
          </w:p>
        </w:tc>
        <w:tc>
          <w:tcPr>
            <w:tcW w:w="12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(25,337)</w:t>
            </w:r>
          </w:p>
        </w:tc>
        <w:tc>
          <w:tcPr>
            <w:tcW w:w="12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(5,002)</w:t>
            </w:r>
          </w:p>
        </w:tc>
        <w:tc>
          <w:tcPr>
            <w:tcW w:w="14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(30,339)</w:t>
            </w:r>
          </w:p>
        </w:tc>
        <w:tc>
          <w:tcPr>
            <w:tcW w:w="12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(27,943)</w:t>
            </w:r>
          </w:p>
        </w:tc>
        <w:tc>
          <w:tcPr>
            <w:tcW w:w="12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(5,628)</w:t>
            </w:r>
          </w:p>
        </w:tc>
        <w:tc>
          <w:tcPr>
            <w:tcW w:w="16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(33,571)</w:t>
            </w:r>
          </w:p>
        </w:tc>
      </w:tr>
      <w:tr>
        <w:trPr>
          <w:trHeight w:val="144"/>
        </w:trPr>
        <w:tc>
          <w:tcPr>
            <w:tcW w:w="3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spacing w:after="0"/>
              <w:rPr>
                <w:sz w:val="12"/>
                <w:szCs w:val="12"/>
                <w:color w:val="auto"/>
              </w:rPr>
            </w:pPr>
          </w:p>
        </w:tc>
      </w:tr>
      <w:tr>
        <w:trPr>
          <w:trHeight w:val="144"/>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Amortization of intangibles</w:t>
            </w: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7,964</w:t>
            </w: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7,964</w:t>
            </w:r>
          </w:p>
        </w:tc>
        <w:tc>
          <w:tcPr>
            <w:tcW w:w="12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7,730</w:t>
            </w:r>
          </w:p>
        </w:tc>
        <w:tc>
          <w:tcPr>
            <w:tcW w:w="12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7,730</w:t>
            </w:r>
          </w:p>
        </w:tc>
      </w:tr>
      <w:tr>
        <w:trPr>
          <w:trHeight w:val="144"/>
        </w:trPr>
        <w:tc>
          <w:tcPr>
            <w:tcW w:w="3280" w:type="dxa"/>
            <w:vAlign w:val="bottom"/>
          </w:tcPr>
          <w:p>
            <w:pPr>
              <w:spacing w:after="0"/>
              <w:rPr>
                <w:sz w:val="20"/>
                <w:szCs w:val="20"/>
                <w:color w:val="auto"/>
              </w:rPr>
            </w:pPr>
            <w:r>
              <w:rPr>
                <w:rFonts w:ascii="Times New Roman" w:cs="Times New Roman" w:eastAsia="Times New Roman" w:hAnsi="Times New Roman"/>
                <w:sz w:val="12"/>
                <w:szCs w:val="12"/>
                <w:color w:val="auto"/>
              </w:rPr>
              <w:t>Change in fair value of contingent consideration</w:t>
            </w:r>
          </w:p>
        </w:tc>
        <w:tc>
          <w:tcPr>
            <w:tcW w:w="120" w:type="dxa"/>
            <w:vAlign w:val="bottom"/>
          </w:tcPr>
          <w:p>
            <w:pPr>
              <w:spacing w:after="0"/>
              <w:rPr>
                <w:sz w:val="12"/>
                <w:szCs w:val="12"/>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2"/>
                <w:szCs w:val="12"/>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2"/>
                <w:szCs w:val="12"/>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2"/>
                <w:szCs w:val="12"/>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272</w:t>
            </w:r>
          </w:p>
        </w:tc>
        <w:tc>
          <w:tcPr>
            <w:tcW w:w="120" w:type="dxa"/>
            <w:vAlign w:val="bottom"/>
          </w:tcPr>
          <w:p>
            <w:pPr>
              <w:spacing w:after="0"/>
              <w:rPr>
                <w:sz w:val="12"/>
                <w:szCs w:val="12"/>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2"/>
                <w:szCs w:val="12"/>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272</w:t>
            </w:r>
          </w:p>
        </w:tc>
      </w:tr>
      <w:tr>
        <w:trPr>
          <w:trHeight w:val="144"/>
        </w:trPr>
        <w:tc>
          <w:tcPr>
            <w:tcW w:w="3280" w:type="dxa"/>
            <w:vAlign w:val="bottom"/>
            <w:shd w:val="clear" w:color="auto" w:fill="CCEEFF"/>
          </w:tcPr>
          <w:p>
            <w:pPr>
              <w:spacing w:after="0" w:line="144" w:lineRule="exact"/>
              <w:rPr>
                <w:sz w:val="20"/>
                <w:szCs w:val="20"/>
                <w:color w:val="auto"/>
              </w:rPr>
            </w:pPr>
            <w:r>
              <w:rPr>
                <w:rFonts w:ascii="Times New Roman" w:cs="Times New Roman" w:eastAsia="Times New Roman" w:hAnsi="Times New Roman"/>
                <w:sz w:val="10"/>
                <w:szCs w:val="10"/>
                <w:color w:val="auto"/>
              </w:rPr>
              <w:t xml:space="preserve">Acquisition, restructuring and other items, net </w:t>
            </w:r>
            <w:r>
              <w:rPr>
                <w:rFonts w:ascii="Times New Roman" w:cs="Times New Roman" w:eastAsia="Times New Roman" w:hAnsi="Times New Roman"/>
                <w:sz w:val="16"/>
                <w:szCs w:val="16"/>
                <w:color w:val="auto"/>
                <w:vertAlign w:val="superscript"/>
              </w:rPr>
              <w:t>(3)</w:t>
            </w: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12,915</w:t>
            </w: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12,915</w:t>
            </w:r>
          </w:p>
        </w:tc>
        <w:tc>
          <w:tcPr>
            <w:tcW w:w="12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13,465</w:t>
            </w:r>
          </w:p>
        </w:tc>
        <w:tc>
          <w:tcPr>
            <w:tcW w:w="12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161</w:t>
            </w:r>
          </w:p>
        </w:tc>
        <w:tc>
          <w:tcPr>
            <w:tcW w:w="1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13,626</w:t>
            </w:r>
          </w:p>
        </w:tc>
      </w:tr>
      <w:tr>
        <w:trPr>
          <w:trHeight w:val="144"/>
        </w:trPr>
        <w:tc>
          <w:tcPr>
            <w:tcW w:w="3280" w:type="dxa"/>
            <w:vAlign w:val="bottom"/>
          </w:tcPr>
          <w:p>
            <w:pPr>
              <w:spacing w:after="0" w:line="144" w:lineRule="exact"/>
              <w:rPr>
                <w:sz w:val="20"/>
                <w:szCs w:val="20"/>
                <w:color w:val="auto"/>
              </w:rPr>
            </w:pPr>
            <w:r>
              <w:rPr>
                <w:rFonts w:ascii="Times New Roman" w:cs="Times New Roman" w:eastAsia="Times New Roman" w:hAnsi="Times New Roman"/>
                <w:sz w:val="10"/>
                <w:szCs w:val="10"/>
                <w:color w:val="auto"/>
              </w:rPr>
              <w:t xml:space="preserve">Tax effect of non-GAAP items </w:t>
            </w:r>
            <w:r>
              <w:rPr>
                <w:rFonts w:ascii="Times New Roman" w:cs="Times New Roman" w:eastAsia="Times New Roman" w:hAnsi="Times New Roman"/>
                <w:sz w:val="16"/>
                <w:szCs w:val="16"/>
                <w:color w:val="auto"/>
                <w:vertAlign w:val="superscript"/>
              </w:rPr>
              <w:t>(4)</w:t>
            </w:r>
          </w:p>
        </w:tc>
        <w:tc>
          <w:tcPr>
            <w:tcW w:w="12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1,081</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1,150</w:t>
            </w:r>
          </w:p>
        </w:tc>
        <w:tc>
          <w:tcPr>
            <w:tcW w:w="140" w:type="dxa"/>
            <w:vAlign w:val="bottom"/>
          </w:tcPr>
          <w:p>
            <w:pPr>
              <w:spacing w:after="0"/>
              <w:rPr>
                <w:sz w:val="12"/>
                <w:szCs w:val="12"/>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2,231</w:t>
            </w:r>
          </w:p>
        </w:tc>
        <w:tc>
          <w:tcPr>
            <w:tcW w:w="120" w:type="dxa"/>
            <w:vAlign w:val="bottom"/>
          </w:tcPr>
          <w:p>
            <w:pPr>
              <w:spacing w:after="0"/>
              <w:rPr>
                <w:sz w:val="12"/>
                <w:szCs w:val="12"/>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1,506</w:t>
            </w:r>
          </w:p>
        </w:tc>
        <w:tc>
          <w:tcPr>
            <w:tcW w:w="120" w:type="dxa"/>
            <w:vAlign w:val="bottom"/>
          </w:tcPr>
          <w:p>
            <w:pPr>
              <w:spacing w:after="0"/>
              <w:rPr>
                <w:sz w:val="12"/>
                <w:szCs w:val="12"/>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1,257</w:t>
            </w:r>
          </w:p>
        </w:tc>
        <w:tc>
          <w:tcPr>
            <w:tcW w:w="160" w:type="dxa"/>
            <w:vAlign w:val="bottom"/>
          </w:tcPr>
          <w:p>
            <w:pPr>
              <w:spacing w:after="0"/>
              <w:rPr>
                <w:sz w:val="12"/>
                <w:szCs w:val="12"/>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2,763</w:t>
            </w:r>
          </w:p>
        </w:tc>
      </w:tr>
      <w:tr>
        <w:trPr>
          <w:trHeight w:val="182"/>
        </w:trPr>
        <w:tc>
          <w:tcPr>
            <w:tcW w:w="32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Adjusted net loss</w:t>
            </w:r>
          </w:p>
        </w:tc>
        <w:tc>
          <w:tcPr>
            <w:tcW w:w="12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(3,377)</w:t>
            </w:r>
          </w:p>
        </w:tc>
        <w:tc>
          <w:tcPr>
            <w:tcW w:w="2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(3,852)</w:t>
            </w:r>
          </w:p>
        </w:tc>
        <w:tc>
          <w:tcPr>
            <w:tcW w:w="24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(7,229)</w:t>
            </w:r>
          </w:p>
        </w:tc>
        <w:tc>
          <w:tcPr>
            <w:tcW w:w="2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(4,970)</w:t>
            </w:r>
          </w:p>
        </w:tc>
        <w:tc>
          <w:tcPr>
            <w:tcW w:w="2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(4,210)</w:t>
            </w:r>
          </w:p>
        </w:tc>
        <w:tc>
          <w:tcPr>
            <w:tcW w:w="2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(9,180)</w:t>
            </w:r>
          </w:p>
        </w:tc>
        <w:tc>
          <w:tcPr>
            <w:tcW w:w="120" w:type="dxa"/>
            <w:vAlign w:val="bottom"/>
            <w:tcBorders>
              <w:bottom w:val="single" w:sz="8" w:color="CCEEFF"/>
            </w:tcBorders>
            <w:shd w:val="clear" w:color="auto" w:fill="CCEEFF"/>
          </w:tcPr>
          <w:p>
            <w:pPr>
              <w:spacing w:after="0"/>
              <w:rPr>
                <w:sz w:val="15"/>
                <w:szCs w:val="15"/>
                <w:color w:val="auto"/>
              </w:rPr>
            </w:pPr>
          </w:p>
        </w:tc>
      </w:tr>
      <w:tr>
        <w:trPr>
          <w:trHeight w:val="264"/>
        </w:trPr>
        <w:tc>
          <w:tcPr>
            <w:tcW w:w="6040" w:type="dxa"/>
            <w:vAlign w:val="bottom"/>
            <w:gridSpan w:val="7"/>
          </w:tcPr>
          <w:p>
            <w:pPr>
              <w:spacing w:after="0"/>
              <w:rPr>
                <w:sz w:val="20"/>
                <w:szCs w:val="20"/>
                <w:color w:val="auto"/>
              </w:rPr>
            </w:pPr>
            <w:r>
              <w:rPr>
                <w:rFonts w:ascii="Times New Roman" w:cs="Times New Roman" w:eastAsia="Times New Roman" w:hAnsi="Times New Roman"/>
                <w:sz w:val="12"/>
                <w:szCs w:val="12"/>
                <w:b w:val="1"/>
                <w:bCs w:val="1"/>
                <w:color w:val="auto"/>
              </w:rPr>
              <w:t>Reconciliation of Diluted Loss Per Share to non-GAAP Adjusted and Pro Forma Adjusted Diluted Loss Per Share:</w:t>
            </w: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r>
      <w:tr>
        <w:trPr>
          <w:trHeight w:val="288"/>
        </w:trPr>
        <w:tc>
          <w:tcPr>
            <w:tcW w:w="32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gridSpan w:val="5"/>
          </w:tcPr>
          <w:p>
            <w:pPr>
              <w:jc w:val="right"/>
              <w:ind w:right="1000"/>
              <w:spacing w:after="0"/>
              <w:rPr>
                <w:sz w:val="20"/>
                <w:szCs w:val="20"/>
                <w:color w:val="auto"/>
              </w:rPr>
            </w:pPr>
            <w:r>
              <w:rPr>
                <w:rFonts w:ascii="Times New Roman" w:cs="Times New Roman" w:eastAsia="Times New Roman" w:hAnsi="Times New Roman"/>
                <w:sz w:val="12"/>
                <w:szCs w:val="12"/>
                <w:color w:val="auto"/>
              </w:rPr>
              <w:t>Nine Months Ended</w:t>
            </w: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24"/>
        </w:trPr>
        <w:tc>
          <w:tcPr>
            <w:tcW w:w="3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60" w:type="dxa"/>
            <w:vAlign w:val="bottom"/>
            <w:gridSpan w:val="2"/>
          </w:tcPr>
          <w:p>
            <w:pPr>
              <w:jc w:val="center"/>
              <w:ind w:right="360"/>
              <w:spacing w:after="0" w:line="124" w:lineRule="exact"/>
              <w:rPr>
                <w:sz w:val="20"/>
                <w:szCs w:val="20"/>
                <w:color w:val="auto"/>
              </w:rPr>
            </w:pPr>
            <w:r>
              <w:rPr>
                <w:rFonts w:ascii="Times New Roman" w:cs="Times New Roman" w:eastAsia="Times New Roman" w:hAnsi="Times New Roman"/>
                <w:sz w:val="12"/>
                <w:szCs w:val="12"/>
                <w:color w:val="auto"/>
                <w:w w:val="97"/>
              </w:rPr>
              <w:t>Pro Forma</w:t>
            </w:r>
          </w:p>
        </w:tc>
        <w:tc>
          <w:tcPr>
            <w:tcW w:w="1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20" w:type="dxa"/>
            <w:vAlign w:val="bottom"/>
            <w:gridSpan w:val="2"/>
          </w:tcPr>
          <w:p>
            <w:pPr>
              <w:jc w:val="center"/>
              <w:ind w:right="340"/>
              <w:spacing w:after="0" w:line="124" w:lineRule="exact"/>
              <w:rPr>
                <w:sz w:val="20"/>
                <w:szCs w:val="20"/>
                <w:color w:val="auto"/>
              </w:rPr>
            </w:pPr>
            <w:r>
              <w:rPr>
                <w:rFonts w:ascii="Times New Roman" w:cs="Times New Roman" w:eastAsia="Times New Roman" w:hAnsi="Times New Roman"/>
                <w:sz w:val="12"/>
                <w:szCs w:val="12"/>
                <w:color w:val="auto"/>
              </w:rPr>
              <w:t>Pro Forma</w:t>
            </w:r>
          </w:p>
        </w:tc>
        <w:tc>
          <w:tcPr>
            <w:tcW w:w="1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51"/>
        </w:trPr>
        <w:tc>
          <w:tcPr>
            <w:tcW w:w="3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gridSpan w:val="2"/>
          </w:tcPr>
          <w:p>
            <w:pPr>
              <w:jc w:val="center"/>
              <w:ind w:right="360"/>
              <w:spacing w:after="0" w:line="151" w:lineRule="exact"/>
              <w:rPr>
                <w:sz w:val="20"/>
                <w:szCs w:val="20"/>
                <w:color w:val="auto"/>
              </w:rPr>
            </w:pPr>
            <w:r>
              <w:rPr>
                <w:rFonts w:ascii="Times New Roman" w:cs="Times New Roman" w:eastAsia="Times New Roman" w:hAnsi="Times New Roman"/>
                <w:sz w:val="11"/>
                <w:szCs w:val="11"/>
                <w:color w:val="auto"/>
              </w:rPr>
              <w:t xml:space="preserve">As Reported </w:t>
            </w:r>
            <w:r>
              <w:rPr>
                <w:rFonts w:ascii="Times New Roman" w:cs="Times New Roman" w:eastAsia="Times New Roman" w:hAnsi="Times New Roman"/>
                <w:sz w:val="17"/>
                <w:szCs w:val="17"/>
                <w:color w:val="auto"/>
                <w:vertAlign w:val="superscript"/>
              </w:rPr>
              <w:t>(1)</w:t>
            </w:r>
          </w:p>
        </w:tc>
        <w:tc>
          <w:tcPr>
            <w:tcW w:w="120" w:type="dxa"/>
            <w:vAlign w:val="bottom"/>
          </w:tcPr>
          <w:p>
            <w:pPr>
              <w:spacing w:after="0"/>
              <w:rPr>
                <w:sz w:val="13"/>
                <w:szCs w:val="13"/>
                <w:color w:val="auto"/>
              </w:rPr>
            </w:pPr>
          </w:p>
        </w:tc>
        <w:tc>
          <w:tcPr>
            <w:tcW w:w="1260" w:type="dxa"/>
            <w:vAlign w:val="bottom"/>
            <w:gridSpan w:val="2"/>
          </w:tcPr>
          <w:p>
            <w:pPr>
              <w:jc w:val="center"/>
              <w:ind w:right="360"/>
              <w:spacing w:after="0" w:line="151" w:lineRule="exact"/>
              <w:rPr>
                <w:sz w:val="20"/>
                <w:szCs w:val="20"/>
                <w:color w:val="auto"/>
              </w:rPr>
            </w:pPr>
            <w:r>
              <w:rPr>
                <w:rFonts w:ascii="Times New Roman" w:cs="Times New Roman" w:eastAsia="Times New Roman" w:hAnsi="Times New Roman"/>
                <w:sz w:val="11"/>
                <w:szCs w:val="11"/>
                <w:color w:val="auto"/>
              </w:rPr>
              <w:t xml:space="preserve">Adjustments </w:t>
            </w:r>
            <w:r>
              <w:rPr>
                <w:rFonts w:ascii="Times New Roman" w:cs="Times New Roman" w:eastAsia="Times New Roman" w:hAnsi="Times New Roman"/>
                <w:sz w:val="17"/>
                <w:szCs w:val="17"/>
                <w:color w:val="auto"/>
                <w:vertAlign w:val="superscript"/>
              </w:rPr>
              <w:t>(2)</w:t>
            </w:r>
          </w:p>
        </w:tc>
        <w:tc>
          <w:tcPr>
            <w:tcW w:w="140" w:type="dxa"/>
            <w:vAlign w:val="bottom"/>
          </w:tcPr>
          <w:p>
            <w:pPr>
              <w:spacing w:after="0"/>
              <w:rPr>
                <w:sz w:val="13"/>
                <w:szCs w:val="13"/>
                <w:color w:val="auto"/>
              </w:rPr>
            </w:pPr>
          </w:p>
        </w:tc>
        <w:tc>
          <w:tcPr>
            <w:tcW w:w="1200" w:type="dxa"/>
            <w:vAlign w:val="bottom"/>
            <w:gridSpan w:val="2"/>
          </w:tcPr>
          <w:p>
            <w:pPr>
              <w:jc w:val="center"/>
              <w:ind w:right="360"/>
              <w:spacing w:after="0"/>
              <w:rPr>
                <w:sz w:val="20"/>
                <w:szCs w:val="20"/>
                <w:color w:val="auto"/>
              </w:rPr>
            </w:pPr>
            <w:r>
              <w:rPr>
                <w:rFonts w:ascii="Times New Roman" w:cs="Times New Roman" w:eastAsia="Times New Roman" w:hAnsi="Times New Roman"/>
                <w:sz w:val="12"/>
                <w:szCs w:val="12"/>
                <w:color w:val="auto"/>
              </w:rPr>
              <w:t>Pro Forma</w:t>
            </w:r>
          </w:p>
        </w:tc>
        <w:tc>
          <w:tcPr>
            <w:tcW w:w="120" w:type="dxa"/>
            <w:vAlign w:val="bottom"/>
          </w:tcPr>
          <w:p>
            <w:pPr>
              <w:spacing w:after="0"/>
              <w:rPr>
                <w:sz w:val="13"/>
                <w:szCs w:val="13"/>
                <w:color w:val="auto"/>
              </w:rPr>
            </w:pPr>
          </w:p>
        </w:tc>
        <w:tc>
          <w:tcPr>
            <w:tcW w:w="1220" w:type="dxa"/>
            <w:vAlign w:val="bottom"/>
            <w:gridSpan w:val="2"/>
          </w:tcPr>
          <w:p>
            <w:pPr>
              <w:jc w:val="center"/>
              <w:ind w:right="320"/>
              <w:spacing w:after="0" w:line="151" w:lineRule="exact"/>
              <w:rPr>
                <w:sz w:val="20"/>
                <w:szCs w:val="20"/>
                <w:color w:val="auto"/>
              </w:rPr>
            </w:pPr>
            <w:r>
              <w:rPr>
                <w:rFonts w:ascii="Times New Roman" w:cs="Times New Roman" w:eastAsia="Times New Roman" w:hAnsi="Times New Roman"/>
                <w:sz w:val="11"/>
                <w:szCs w:val="11"/>
                <w:color w:val="auto"/>
              </w:rPr>
              <w:t xml:space="preserve">As Reported </w:t>
            </w:r>
            <w:r>
              <w:rPr>
                <w:rFonts w:ascii="Times New Roman" w:cs="Times New Roman" w:eastAsia="Times New Roman" w:hAnsi="Times New Roman"/>
                <w:sz w:val="17"/>
                <w:szCs w:val="17"/>
                <w:color w:val="auto"/>
                <w:vertAlign w:val="superscript"/>
              </w:rPr>
              <w:t>(1)</w:t>
            </w:r>
          </w:p>
        </w:tc>
        <w:tc>
          <w:tcPr>
            <w:tcW w:w="120" w:type="dxa"/>
            <w:vAlign w:val="bottom"/>
          </w:tcPr>
          <w:p>
            <w:pPr>
              <w:spacing w:after="0"/>
              <w:rPr>
                <w:sz w:val="13"/>
                <w:szCs w:val="13"/>
                <w:color w:val="auto"/>
              </w:rPr>
            </w:pPr>
          </w:p>
        </w:tc>
        <w:tc>
          <w:tcPr>
            <w:tcW w:w="1220" w:type="dxa"/>
            <w:vAlign w:val="bottom"/>
            <w:gridSpan w:val="2"/>
          </w:tcPr>
          <w:p>
            <w:pPr>
              <w:jc w:val="center"/>
              <w:ind w:right="320"/>
              <w:spacing w:after="0" w:line="151" w:lineRule="exact"/>
              <w:rPr>
                <w:sz w:val="20"/>
                <w:szCs w:val="20"/>
                <w:color w:val="auto"/>
              </w:rPr>
            </w:pPr>
            <w:r>
              <w:rPr>
                <w:rFonts w:ascii="Times New Roman" w:cs="Times New Roman" w:eastAsia="Times New Roman" w:hAnsi="Times New Roman"/>
                <w:sz w:val="11"/>
                <w:szCs w:val="11"/>
                <w:color w:val="auto"/>
              </w:rPr>
              <w:t xml:space="preserve">Adjustments </w:t>
            </w:r>
            <w:r>
              <w:rPr>
                <w:rFonts w:ascii="Times New Roman" w:cs="Times New Roman" w:eastAsia="Times New Roman" w:hAnsi="Times New Roman"/>
                <w:sz w:val="17"/>
                <w:szCs w:val="17"/>
                <w:color w:val="auto"/>
                <w:vertAlign w:val="superscript"/>
              </w:rPr>
              <w:t>(2)</w:t>
            </w:r>
          </w:p>
        </w:tc>
        <w:tc>
          <w:tcPr>
            <w:tcW w:w="160" w:type="dxa"/>
            <w:vAlign w:val="bottom"/>
          </w:tcPr>
          <w:p>
            <w:pPr>
              <w:spacing w:after="0"/>
              <w:rPr>
                <w:sz w:val="13"/>
                <w:szCs w:val="13"/>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2"/>
                <w:szCs w:val="12"/>
                <w:color w:val="auto"/>
                <w:w w:val="97"/>
              </w:rPr>
              <w:t>Pro Forma</w:t>
            </w:r>
          </w:p>
        </w:tc>
      </w:tr>
      <w:tr>
        <w:trPr>
          <w:trHeight w:val="155"/>
        </w:trPr>
        <w:tc>
          <w:tcPr>
            <w:tcW w:w="3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2"/>
                <w:szCs w:val="12"/>
                <w:color w:val="auto"/>
                <w:w w:val="98"/>
              </w:rPr>
              <w:t>Feb 28, 2026</w:t>
            </w:r>
          </w:p>
        </w:tc>
        <w:tc>
          <w:tcPr>
            <w:tcW w:w="120" w:type="dxa"/>
            <w:vAlign w:val="bottom"/>
          </w:tcPr>
          <w:p>
            <w:pPr>
              <w:spacing w:after="0"/>
              <w:rPr>
                <w:sz w:val="13"/>
                <w:szCs w:val="13"/>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2"/>
                <w:szCs w:val="12"/>
                <w:color w:val="auto"/>
                <w:w w:val="98"/>
              </w:rPr>
              <w:t>Feb 28, 2026</w:t>
            </w:r>
          </w:p>
        </w:tc>
        <w:tc>
          <w:tcPr>
            <w:tcW w:w="140" w:type="dxa"/>
            <w:vAlign w:val="bottom"/>
          </w:tcPr>
          <w:p>
            <w:pPr>
              <w:spacing w:after="0"/>
              <w:rPr>
                <w:sz w:val="13"/>
                <w:szCs w:val="13"/>
                <w:color w:val="auto"/>
              </w:rPr>
            </w:pPr>
          </w:p>
        </w:tc>
        <w:tc>
          <w:tcPr>
            <w:tcW w:w="1200" w:type="dxa"/>
            <w:vAlign w:val="bottom"/>
            <w:gridSpan w:val="2"/>
          </w:tcPr>
          <w:p>
            <w:pPr>
              <w:jc w:val="center"/>
              <w:ind w:right="360"/>
              <w:spacing w:after="0"/>
              <w:rPr>
                <w:sz w:val="20"/>
                <w:szCs w:val="20"/>
                <w:color w:val="auto"/>
              </w:rPr>
            </w:pPr>
            <w:r>
              <w:rPr>
                <w:rFonts w:ascii="Times New Roman" w:cs="Times New Roman" w:eastAsia="Times New Roman" w:hAnsi="Times New Roman"/>
                <w:sz w:val="12"/>
                <w:szCs w:val="12"/>
                <w:color w:val="auto"/>
              </w:rPr>
              <w:t>Feb 28, 2026</w:t>
            </w:r>
          </w:p>
        </w:tc>
        <w:tc>
          <w:tcPr>
            <w:tcW w:w="120" w:type="dxa"/>
            <w:vAlign w:val="bottom"/>
          </w:tcPr>
          <w:p>
            <w:pPr>
              <w:spacing w:after="0"/>
              <w:rPr>
                <w:sz w:val="13"/>
                <w:szCs w:val="13"/>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2"/>
                <w:szCs w:val="12"/>
                <w:color w:val="auto"/>
              </w:rPr>
              <w:t>Feb 28, 2025</w:t>
            </w:r>
          </w:p>
        </w:tc>
        <w:tc>
          <w:tcPr>
            <w:tcW w:w="120" w:type="dxa"/>
            <w:vAlign w:val="bottom"/>
          </w:tcPr>
          <w:p>
            <w:pPr>
              <w:spacing w:after="0"/>
              <w:rPr>
                <w:sz w:val="13"/>
                <w:szCs w:val="13"/>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2"/>
                <w:szCs w:val="12"/>
                <w:color w:val="auto"/>
              </w:rPr>
              <w:t>Feb 28, 2025</w:t>
            </w:r>
          </w:p>
        </w:tc>
        <w:tc>
          <w:tcPr>
            <w:tcW w:w="160" w:type="dxa"/>
            <w:vAlign w:val="bottom"/>
          </w:tcPr>
          <w:p>
            <w:pPr>
              <w:spacing w:after="0"/>
              <w:rPr>
                <w:sz w:val="13"/>
                <w:szCs w:val="13"/>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2"/>
                <w:szCs w:val="12"/>
                <w:color w:val="auto"/>
                <w:w w:val="98"/>
              </w:rPr>
              <w:t>Feb 28, 2025</w:t>
            </w:r>
          </w:p>
        </w:tc>
      </w:tr>
      <w:tr>
        <w:trPr>
          <w:trHeight w:val="153"/>
        </w:trPr>
        <w:tc>
          <w:tcPr>
            <w:tcW w:w="32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jc w:val="center"/>
              <w:ind w:right="81"/>
              <w:spacing w:after="0"/>
              <w:rPr>
                <w:sz w:val="20"/>
                <w:szCs w:val="20"/>
                <w:color w:val="auto"/>
              </w:rPr>
            </w:pPr>
            <w:r>
              <w:rPr>
                <w:rFonts w:ascii="Times New Roman" w:cs="Times New Roman" w:eastAsia="Times New Roman" w:hAnsi="Times New Roman"/>
                <w:sz w:val="12"/>
                <w:szCs w:val="12"/>
                <w:color w:val="auto"/>
              </w:rPr>
              <w:t>(unaudited)</w:t>
            </w:r>
          </w:p>
        </w:tc>
        <w:tc>
          <w:tcPr>
            <w:tcW w:w="24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jc w:val="center"/>
              <w:ind w:right="61"/>
              <w:spacing w:after="0"/>
              <w:rPr>
                <w:sz w:val="20"/>
                <w:szCs w:val="20"/>
                <w:color w:val="auto"/>
              </w:rPr>
            </w:pPr>
            <w:r>
              <w:rPr>
                <w:rFonts w:ascii="Times New Roman" w:cs="Times New Roman" w:eastAsia="Times New Roman" w:hAnsi="Times New Roman"/>
                <w:sz w:val="12"/>
                <w:szCs w:val="12"/>
                <w:color w:val="auto"/>
              </w:rPr>
              <w:t>(unaudited)</w:t>
            </w:r>
          </w:p>
        </w:tc>
        <w:tc>
          <w:tcPr>
            <w:tcW w:w="2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33"/>
        </w:trPr>
        <w:tc>
          <w:tcPr>
            <w:tcW w:w="3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gridSpan w:val="2"/>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2"/>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2"/>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gridSpan w:val="2"/>
          </w:tcPr>
          <w:p>
            <w:pPr>
              <w:spacing w:after="0"/>
              <w:rPr>
                <w:sz w:val="11"/>
                <w:szCs w:val="11"/>
                <w:color w:val="auto"/>
              </w:rPr>
            </w:pPr>
          </w:p>
        </w:tc>
      </w:tr>
      <w:tr>
        <w:trPr>
          <w:trHeight w:val="144"/>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Diluted loss per share</w:t>
            </w:r>
          </w:p>
        </w:tc>
        <w:tc>
          <w:tcPr>
            <w:tcW w:w="12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(0.61)</w:t>
            </w:r>
          </w:p>
        </w:tc>
        <w:tc>
          <w:tcPr>
            <w:tcW w:w="12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(0.12)</w:t>
            </w:r>
          </w:p>
        </w:tc>
        <w:tc>
          <w:tcPr>
            <w:tcW w:w="14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(0.73)</w:t>
            </w:r>
          </w:p>
        </w:tc>
        <w:tc>
          <w:tcPr>
            <w:tcW w:w="12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(0.68)</w:t>
            </w:r>
          </w:p>
        </w:tc>
        <w:tc>
          <w:tcPr>
            <w:tcW w:w="12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(0.14)</w:t>
            </w:r>
          </w:p>
        </w:tc>
        <w:tc>
          <w:tcPr>
            <w:tcW w:w="1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(0.82)</w:t>
            </w:r>
          </w:p>
        </w:tc>
      </w:tr>
      <w:tr>
        <w:trPr>
          <w:trHeight w:val="144"/>
        </w:trPr>
        <w:tc>
          <w:tcPr>
            <w:tcW w:w="3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spacing w:after="0"/>
              <w:rPr>
                <w:sz w:val="12"/>
                <w:szCs w:val="12"/>
                <w:color w:val="auto"/>
              </w:rPr>
            </w:pPr>
          </w:p>
        </w:tc>
      </w:tr>
      <w:tr>
        <w:trPr>
          <w:trHeight w:val="144"/>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Amortization of intangibles</w:t>
            </w: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0.19</w:t>
            </w: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0.19</w:t>
            </w:r>
          </w:p>
        </w:tc>
        <w:tc>
          <w:tcPr>
            <w:tcW w:w="12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0.19</w:t>
            </w:r>
          </w:p>
        </w:tc>
        <w:tc>
          <w:tcPr>
            <w:tcW w:w="12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0.19</w:t>
            </w:r>
          </w:p>
        </w:tc>
      </w:tr>
      <w:tr>
        <w:trPr>
          <w:trHeight w:val="144"/>
        </w:trPr>
        <w:tc>
          <w:tcPr>
            <w:tcW w:w="3280" w:type="dxa"/>
            <w:vAlign w:val="bottom"/>
          </w:tcPr>
          <w:p>
            <w:pPr>
              <w:spacing w:after="0"/>
              <w:rPr>
                <w:sz w:val="20"/>
                <w:szCs w:val="20"/>
                <w:color w:val="auto"/>
              </w:rPr>
            </w:pPr>
            <w:r>
              <w:rPr>
                <w:rFonts w:ascii="Times New Roman" w:cs="Times New Roman" w:eastAsia="Times New Roman" w:hAnsi="Times New Roman"/>
                <w:sz w:val="12"/>
                <w:szCs w:val="12"/>
                <w:color w:val="auto"/>
              </w:rPr>
              <w:t>Change in fair value of contingent consideration</w:t>
            </w:r>
          </w:p>
        </w:tc>
        <w:tc>
          <w:tcPr>
            <w:tcW w:w="120" w:type="dxa"/>
            <w:vAlign w:val="bottom"/>
          </w:tcPr>
          <w:p>
            <w:pPr>
              <w:spacing w:after="0"/>
              <w:rPr>
                <w:sz w:val="12"/>
                <w:szCs w:val="12"/>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2"/>
                <w:szCs w:val="12"/>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2"/>
                <w:szCs w:val="12"/>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2"/>
                <w:szCs w:val="12"/>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0.01</w:t>
            </w:r>
          </w:p>
        </w:tc>
        <w:tc>
          <w:tcPr>
            <w:tcW w:w="1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2"/>
                <w:szCs w:val="12"/>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0.01</w:t>
            </w:r>
          </w:p>
        </w:tc>
      </w:tr>
      <w:tr>
        <w:trPr>
          <w:trHeight w:val="144"/>
        </w:trPr>
        <w:tc>
          <w:tcPr>
            <w:tcW w:w="3280" w:type="dxa"/>
            <w:vAlign w:val="bottom"/>
            <w:shd w:val="clear" w:color="auto" w:fill="CCEEFF"/>
          </w:tcPr>
          <w:p>
            <w:pPr>
              <w:spacing w:after="0" w:line="144" w:lineRule="exact"/>
              <w:rPr>
                <w:sz w:val="20"/>
                <w:szCs w:val="20"/>
                <w:color w:val="auto"/>
              </w:rPr>
            </w:pPr>
            <w:r>
              <w:rPr>
                <w:rFonts w:ascii="Times New Roman" w:cs="Times New Roman" w:eastAsia="Times New Roman" w:hAnsi="Times New Roman"/>
                <w:sz w:val="10"/>
                <w:szCs w:val="10"/>
                <w:color w:val="auto"/>
              </w:rPr>
              <w:t xml:space="preserve">Acquisition, restructuring and other items, net </w:t>
            </w:r>
            <w:r>
              <w:rPr>
                <w:rFonts w:ascii="Times New Roman" w:cs="Times New Roman" w:eastAsia="Times New Roman" w:hAnsi="Times New Roman"/>
                <w:sz w:val="16"/>
                <w:szCs w:val="16"/>
                <w:color w:val="auto"/>
                <w:vertAlign w:val="superscript"/>
              </w:rPr>
              <w:t>(3)</w:t>
            </w: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0.31</w:t>
            </w: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0.31</w:t>
            </w:r>
          </w:p>
        </w:tc>
        <w:tc>
          <w:tcPr>
            <w:tcW w:w="12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0.32</w:t>
            </w:r>
          </w:p>
        </w:tc>
        <w:tc>
          <w:tcPr>
            <w:tcW w:w="12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0.01</w:t>
            </w:r>
          </w:p>
        </w:tc>
        <w:tc>
          <w:tcPr>
            <w:tcW w:w="1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0.33</w:t>
            </w:r>
          </w:p>
        </w:tc>
      </w:tr>
      <w:tr>
        <w:trPr>
          <w:trHeight w:val="144"/>
        </w:trPr>
        <w:tc>
          <w:tcPr>
            <w:tcW w:w="3280" w:type="dxa"/>
            <w:vAlign w:val="bottom"/>
          </w:tcPr>
          <w:p>
            <w:pPr>
              <w:spacing w:after="0" w:line="144" w:lineRule="exact"/>
              <w:rPr>
                <w:sz w:val="20"/>
                <w:szCs w:val="20"/>
                <w:color w:val="auto"/>
              </w:rPr>
            </w:pPr>
            <w:r>
              <w:rPr>
                <w:rFonts w:ascii="Times New Roman" w:cs="Times New Roman" w:eastAsia="Times New Roman" w:hAnsi="Times New Roman"/>
                <w:sz w:val="10"/>
                <w:szCs w:val="10"/>
                <w:color w:val="auto"/>
              </w:rPr>
              <w:t xml:space="preserve">Tax effect of non-GAAP items </w:t>
            </w:r>
            <w:r>
              <w:rPr>
                <w:rFonts w:ascii="Times New Roman" w:cs="Times New Roman" w:eastAsia="Times New Roman" w:hAnsi="Times New Roman"/>
                <w:sz w:val="16"/>
                <w:szCs w:val="16"/>
                <w:color w:val="auto"/>
                <w:vertAlign w:val="superscript"/>
              </w:rPr>
              <w:t>(4)</w:t>
            </w:r>
          </w:p>
        </w:tc>
        <w:tc>
          <w:tcPr>
            <w:tcW w:w="12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0.03</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0.03</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0.06</w:t>
            </w:r>
          </w:p>
        </w:tc>
        <w:tc>
          <w:tcPr>
            <w:tcW w:w="120" w:type="dxa"/>
            <w:vAlign w:val="bottom"/>
          </w:tcPr>
          <w:p>
            <w:pPr>
              <w:spacing w:after="0"/>
              <w:rPr>
                <w:sz w:val="12"/>
                <w:szCs w:val="12"/>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0.04</w:t>
            </w:r>
          </w:p>
        </w:tc>
        <w:tc>
          <w:tcPr>
            <w:tcW w:w="1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0.03</w:t>
            </w:r>
          </w:p>
        </w:tc>
        <w:tc>
          <w:tcPr>
            <w:tcW w:w="160" w:type="dxa"/>
            <w:vAlign w:val="bottom"/>
          </w:tcPr>
          <w:p>
            <w:pPr>
              <w:spacing w:after="0"/>
              <w:rPr>
                <w:sz w:val="12"/>
                <w:szCs w:val="12"/>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0.07</w:t>
            </w:r>
          </w:p>
        </w:tc>
      </w:tr>
      <w:tr>
        <w:trPr>
          <w:trHeight w:val="20"/>
        </w:trPr>
        <w:tc>
          <w:tcPr>
            <w:tcW w:w="3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82"/>
        </w:trPr>
        <w:tc>
          <w:tcPr>
            <w:tcW w:w="32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Adjusted diluted loss per share</w:t>
            </w:r>
          </w:p>
        </w:tc>
        <w:tc>
          <w:tcPr>
            <w:tcW w:w="12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(0.08)</w:t>
            </w:r>
          </w:p>
        </w:tc>
        <w:tc>
          <w:tcPr>
            <w:tcW w:w="240" w:type="dxa"/>
            <w:vAlign w:val="bottom"/>
            <w:shd w:val="clear" w:color="auto" w:fill="CCEEFF"/>
          </w:tcPr>
          <w:p>
            <w:pPr>
              <w:spacing w:after="0"/>
              <w:rPr>
                <w:sz w:val="15"/>
                <w:szCs w:val="15"/>
                <w:color w:val="auto"/>
              </w:rPr>
            </w:pPr>
          </w:p>
        </w:tc>
        <w:tc>
          <w:tcPr>
            <w:tcW w:w="12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(0.09)</w:t>
            </w:r>
          </w:p>
        </w:tc>
        <w:tc>
          <w:tcPr>
            <w:tcW w:w="14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(0.17)</w:t>
            </w:r>
          </w:p>
        </w:tc>
        <w:tc>
          <w:tcPr>
            <w:tcW w:w="12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(0.12)</w:t>
            </w:r>
          </w:p>
        </w:tc>
        <w:tc>
          <w:tcPr>
            <w:tcW w:w="12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(0.10)</w:t>
            </w:r>
          </w:p>
        </w:tc>
        <w:tc>
          <w:tcPr>
            <w:tcW w:w="16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(0.22)</w:t>
            </w:r>
          </w:p>
        </w:tc>
      </w:tr>
      <w:tr>
        <w:trPr>
          <w:trHeight w:val="120"/>
        </w:trPr>
        <w:tc>
          <w:tcPr>
            <w:tcW w:w="3280" w:type="dxa"/>
            <w:vAlign w:val="bottom"/>
            <w:tcBorders>
              <w:top w:val="single" w:sz="8" w:color="CCEEFF"/>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tcPr>
          <w:p>
            <w:pPr>
              <w:spacing w:after="0"/>
              <w:rPr>
                <w:sz w:val="10"/>
                <w:szCs w:val="10"/>
                <w:color w:val="auto"/>
              </w:rPr>
            </w:pPr>
          </w:p>
        </w:tc>
        <w:tc>
          <w:tcPr>
            <w:tcW w:w="240" w:type="dxa"/>
            <w:vAlign w:val="bottom"/>
            <w:tcBorders>
              <w:top w:val="single" w:sz="8" w:color="CCEEFF"/>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tcPr>
          <w:p>
            <w:pPr>
              <w:spacing w:after="0"/>
              <w:rPr>
                <w:sz w:val="10"/>
                <w:szCs w:val="10"/>
                <w:color w:val="auto"/>
              </w:rPr>
            </w:pPr>
          </w:p>
        </w:tc>
        <w:tc>
          <w:tcPr>
            <w:tcW w:w="240" w:type="dxa"/>
            <w:vAlign w:val="bottom"/>
            <w:tcBorders>
              <w:top w:val="single" w:sz="8" w:color="CCEEFF"/>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spacing w:after="0"/>
              <w:rPr>
                <w:sz w:val="10"/>
                <w:szCs w:val="10"/>
                <w:color w:val="auto"/>
              </w:rPr>
            </w:pPr>
          </w:p>
        </w:tc>
        <w:tc>
          <w:tcPr>
            <w:tcW w:w="220" w:type="dxa"/>
            <w:vAlign w:val="bottom"/>
            <w:tcBorders>
              <w:top w:val="single" w:sz="8" w:color="CCEEFF"/>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spacing w:after="0"/>
              <w:rPr>
                <w:sz w:val="10"/>
                <w:szCs w:val="10"/>
                <w:color w:val="auto"/>
              </w:rPr>
            </w:pPr>
          </w:p>
        </w:tc>
        <w:tc>
          <w:tcPr>
            <w:tcW w:w="220" w:type="dxa"/>
            <w:vAlign w:val="bottom"/>
            <w:tcBorders>
              <w:top w:val="single" w:sz="8" w:color="CCEEFF"/>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spacing w:after="0"/>
              <w:rPr>
                <w:sz w:val="10"/>
                <w:szCs w:val="10"/>
                <w:color w:val="auto"/>
              </w:rPr>
            </w:pPr>
          </w:p>
        </w:tc>
        <w:tc>
          <w:tcPr>
            <w:tcW w:w="220" w:type="dxa"/>
            <w:vAlign w:val="bottom"/>
            <w:tcBorders>
              <w:top w:val="single" w:sz="8" w:color="CCEEFF"/>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r>
      <w:tr>
        <w:trPr>
          <w:trHeight w:val="144"/>
        </w:trPr>
        <w:tc>
          <w:tcPr>
            <w:tcW w:w="3280" w:type="dxa"/>
            <w:vAlign w:val="bottom"/>
            <w:shd w:val="clear" w:color="auto" w:fill="CCEEFF"/>
          </w:tcPr>
          <w:p>
            <w:pPr>
              <w:ind w:left="100"/>
              <w:spacing w:after="0" w:line="144" w:lineRule="exact"/>
              <w:rPr>
                <w:sz w:val="20"/>
                <w:szCs w:val="20"/>
                <w:color w:val="auto"/>
              </w:rPr>
            </w:pPr>
            <w:r>
              <w:rPr>
                <w:rFonts w:ascii="Times New Roman" w:cs="Times New Roman" w:eastAsia="Times New Roman" w:hAnsi="Times New Roman"/>
                <w:sz w:val="10"/>
                <w:szCs w:val="10"/>
                <w:color w:val="auto"/>
              </w:rPr>
              <w:t xml:space="preserve">Adjusted diluted sharecount </w:t>
            </w:r>
            <w:r>
              <w:rPr>
                <w:rFonts w:ascii="Times New Roman" w:cs="Times New Roman" w:eastAsia="Times New Roman" w:hAnsi="Times New Roman"/>
                <w:sz w:val="16"/>
                <w:szCs w:val="16"/>
                <w:color w:val="auto"/>
                <w:vertAlign w:val="superscript"/>
              </w:rPr>
              <w:t>(5)</w:t>
            </w: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41,467</w:t>
            </w: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41,467</w:t>
            </w:r>
          </w:p>
        </w:tc>
        <w:tc>
          <w:tcPr>
            <w:tcW w:w="14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41,467</w:t>
            </w:r>
          </w:p>
        </w:tc>
        <w:tc>
          <w:tcPr>
            <w:tcW w:w="12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40,809</w:t>
            </w:r>
          </w:p>
        </w:tc>
        <w:tc>
          <w:tcPr>
            <w:tcW w:w="12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40,809</w:t>
            </w:r>
          </w:p>
        </w:tc>
        <w:tc>
          <w:tcPr>
            <w:tcW w:w="1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40,809</w:t>
            </w:r>
          </w:p>
        </w:tc>
      </w:tr>
    </w:tbl>
    <w:p>
      <w:pPr>
        <w:spacing w:after="0" w:line="133" w:lineRule="exact"/>
        <w:rPr>
          <w:sz w:val="20"/>
          <w:szCs w:val="20"/>
          <w:color w:val="auto"/>
        </w:rPr>
      </w:pPr>
    </w:p>
    <w:p>
      <w:pPr>
        <w:ind w:left="8" w:right="260" w:hanging="8"/>
        <w:spacing w:after="0" w:line="279" w:lineRule="auto"/>
        <w:tabs>
          <w:tab w:leader="none" w:pos="208"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Reflects the Company's US GAAP consolidated financial statements before pro forma adjustments related to the sale of the Dialysis and BioSentry Businesses on June 8, 2023, the sale of the PICCs and Midlines Businesses on February 15, 2024 and the discontinuation of the RadioFrequency Ablation and Syntrax products ("the Businesses") as of February 29, 2024, for the nine months ended February 28, 2026 and 2025, respectively .</w:t>
      </w:r>
    </w:p>
    <w:p>
      <w:pPr>
        <w:spacing w:after="0" w:line="111" w:lineRule="exact"/>
        <w:rPr>
          <w:rFonts w:ascii="Times New Roman" w:cs="Times New Roman" w:eastAsia="Times New Roman" w:hAnsi="Times New Roman"/>
          <w:sz w:val="12"/>
          <w:szCs w:val="12"/>
          <w:color w:val="auto"/>
        </w:rPr>
      </w:pPr>
    </w:p>
    <w:p>
      <w:pPr>
        <w:ind w:left="168" w:hanging="168"/>
        <w:spacing w:after="0"/>
        <w:tabs>
          <w:tab w:leader="none" w:pos="168"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Reflects the elimination of revenues and expenses representing the operating results from the sales and discontinuation of the Businesses.</w:t>
      </w:r>
    </w:p>
    <w:p>
      <w:pPr>
        <w:spacing w:after="0" w:line="150" w:lineRule="exact"/>
        <w:rPr>
          <w:rFonts w:ascii="Times New Roman" w:cs="Times New Roman" w:eastAsia="Times New Roman" w:hAnsi="Times New Roman"/>
          <w:sz w:val="12"/>
          <w:szCs w:val="12"/>
          <w:color w:val="auto"/>
        </w:rPr>
      </w:pPr>
    </w:p>
    <w:p>
      <w:pPr>
        <w:ind w:left="208" w:hanging="208"/>
        <w:spacing w:after="0"/>
        <w:tabs>
          <w:tab w:leader="none" w:pos="208"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Includes costs related to merger and acquisition activities, restructuring, and unusual items, including asset impairments and write-offs, certain litigation, and other items.</w:t>
      </w:r>
    </w:p>
    <w:p>
      <w:pPr>
        <w:spacing w:after="0" w:line="150" w:lineRule="exact"/>
        <w:rPr>
          <w:rFonts w:ascii="Times New Roman" w:cs="Times New Roman" w:eastAsia="Times New Roman" w:hAnsi="Times New Roman"/>
          <w:sz w:val="12"/>
          <w:szCs w:val="12"/>
          <w:color w:val="auto"/>
        </w:rPr>
      </w:pPr>
    </w:p>
    <w:p>
      <w:pPr>
        <w:ind w:left="8" w:right="120" w:hanging="8"/>
        <w:spacing w:after="0" w:line="279" w:lineRule="auto"/>
        <w:tabs>
          <w:tab w:leader="none" w:pos="178"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Adjustment to reflect the income tax provision on a non-GAAP basis has been calculated assuming no valuation allowance on the Company's U.S. deferred tax assets and an effective tax rate of 23% for the periods ended February 28, 2026 and 2025.</w:t>
      </w:r>
    </w:p>
    <w:p>
      <w:pPr>
        <w:spacing w:after="0" w:line="111" w:lineRule="exact"/>
        <w:rPr>
          <w:rFonts w:ascii="Times New Roman" w:cs="Times New Roman" w:eastAsia="Times New Roman" w:hAnsi="Times New Roman"/>
          <w:sz w:val="12"/>
          <w:szCs w:val="12"/>
          <w:color w:val="auto"/>
        </w:rPr>
      </w:pPr>
    </w:p>
    <w:p>
      <w:pPr>
        <w:ind w:left="168" w:hanging="168"/>
        <w:spacing w:after="0"/>
        <w:tabs>
          <w:tab w:leader="none" w:pos="168"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Diluted shares may differ for non-GAAP measures as compared to GAAP due to a GAAP loss.</w:t>
      </w:r>
    </w:p>
    <w:p>
      <w:pPr>
        <w:spacing w:after="0" w:line="263"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0"/>
          <w:szCs w:val="1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21590</wp:posOffset>
            </wp:positionV>
            <wp:extent cx="7178040" cy="114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8"/>
          </w:cols>
          <w:pgMar w:left="292" w:top="125" w:right="299" w:bottom="1440" w:gutter="0" w:footer="0" w:header="0"/>
        </w:sectPr>
      </w:pPr>
    </w:p>
    <w:bookmarkStart w:id="14" w:name="page15"/>
    <w:bookmarkEnd w:id="14"/>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ANGIODYNAMICS, INC. AND SUBSIDIARIES</w:t>
      </w:r>
    </w:p>
    <w:p>
      <w:pPr>
        <w:spacing w:after="0" w:line="2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GAAP TO NON-GAAP RECONCILIATION (Continued)</w:t>
      </w:r>
    </w:p>
    <w:p>
      <w:pPr>
        <w:spacing w:after="0" w:line="6"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(in thousands)</w:t>
      </w:r>
    </w:p>
    <w:p>
      <w:pPr>
        <w:spacing w:after="0" w:line="135" w:lineRule="exact"/>
        <w:rPr>
          <w:sz w:val="20"/>
          <w:szCs w:val="20"/>
          <w:color w:val="auto"/>
        </w:rPr>
      </w:pPr>
    </w:p>
    <w:tbl>
      <w:tblPr>
        <w:tblLayout w:type="fixed"/>
        <w:tblInd w:w="8" w:type="dxa"/>
        <w:tblCellMar>
          <w:top w:w="0" w:type="dxa"/>
          <w:left w:w="0" w:type="dxa"/>
          <w:bottom w:w="0" w:type="dxa"/>
          <w:right w:w="0" w:type="dxa"/>
        </w:tblCellMar>
      </w:tblPr>
      <w:tr>
        <w:trPr>
          <w:trHeight w:val="159"/>
        </w:trPr>
        <w:tc>
          <w:tcPr>
            <w:tcW w:w="6220" w:type="dxa"/>
            <w:vAlign w:val="bottom"/>
            <w:gridSpan w:val="8"/>
          </w:tcPr>
          <w:p>
            <w:pPr>
              <w:spacing w:after="0"/>
              <w:rPr>
                <w:sz w:val="20"/>
                <w:szCs w:val="20"/>
                <w:color w:val="auto"/>
              </w:rPr>
            </w:pPr>
            <w:r>
              <w:rPr>
                <w:rFonts w:ascii="Times New Roman" w:cs="Times New Roman" w:eastAsia="Times New Roman" w:hAnsi="Times New Roman"/>
                <w:sz w:val="12"/>
                <w:szCs w:val="12"/>
                <w:b w:val="1"/>
                <w:bCs w:val="1"/>
                <w:color w:val="auto"/>
              </w:rPr>
              <w:t>Reconciliation of Net Loss and non-GAAP Pro Forma Net Loss to Adjusted EBITDA and Pro Forma Adjusted EBITDA:</w:t>
            </w:r>
          </w:p>
        </w:tc>
        <w:tc>
          <w:tcPr>
            <w:tcW w:w="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88"/>
        </w:trPr>
        <w:tc>
          <w:tcPr>
            <w:tcW w:w="32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gridSpan w:val="5"/>
          </w:tcPr>
          <w:p>
            <w:pPr>
              <w:jc w:val="right"/>
              <w:ind w:right="1000"/>
              <w:spacing w:after="0"/>
              <w:rPr>
                <w:sz w:val="20"/>
                <w:szCs w:val="20"/>
                <w:color w:val="auto"/>
              </w:rPr>
            </w:pPr>
            <w:r>
              <w:rPr>
                <w:rFonts w:ascii="Times New Roman" w:cs="Times New Roman" w:eastAsia="Times New Roman" w:hAnsi="Times New Roman"/>
                <w:sz w:val="12"/>
                <w:szCs w:val="12"/>
                <w:color w:val="auto"/>
              </w:rPr>
              <w:t>Nine Months Ended</w:t>
            </w: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24"/>
        </w:trPr>
        <w:tc>
          <w:tcPr>
            <w:tcW w:w="3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60" w:type="dxa"/>
            <w:vAlign w:val="bottom"/>
            <w:gridSpan w:val="2"/>
          </w:tcPr>
          <w:p>
            <w:pPr>
              <w:jc w:val="center"/>
              <w:ind w:right="360"/>
              <w:spacing w:after="0" w:line="124" w:lineRule="exact"/>
              <w:rPr>
                <w:sz w:val="20"/>
                <w:szCs w:val="20"/>
                <w:color w:val="auto"/>
              </w:rPr>
            </w:pPr>
            <w:r>
              <w:rPr>
                <w:rFonts w:ascii="Times New Roman" w:cs="Times New Roman" w:eastAsia="Times New Roman" w:hAnsi="Times New Roman"/>
                <w:sz w:val="12"/>
                <w:szCs w:val="12"/>
                <w:color w:val="auto"/>
                <w:w w:val="97"/>
              </w:rPr>
              <w:t>Pro Forma</w:t>
            </w:r>
          </w:p>
        </w:tc>
        <w:tc>
          <w:tcPr>
            <w:tcW w:w="1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20" w:type="dxa"/>
            <w:vAlign w:val="bottom"/>
            <w:gridSpan w:val="2"/>
          </w:tcPr>
          <w:p>
            <w:pPr>
              <w:jc w:val="center"/>
              <w:ind w:right="340"/>
              <w:spacing w:after="0" w:line="124" w:lineRule="exact"/>
              <w:rPr>
                <w:sz w:val="20"/>
                <w:szCs w:val="20"/>
                <w:color w:val="auto"/>
              </w:rPr>
            </w:pPr>
            <w:r>
              <w:rPr>
                <w:rFonts w:ascii="Times New Roman" w:cs="Times New Roman" w:eastAsia="Times New Roman" w:hAnsi="Times New Roman"/>
                <w:sz w:val="12"/>
                <w:szCs w:val="12"/>
                <w:color w:val="auto"/>
              </w:rPr>
              <w:t>Pro Forma</w:t>
            </w:r>
          </w:p>
        </w:tc>
        <w:tc>
          <w:tcPr>
            <w:tcW w:w="1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51"/>
        </w:trPr>
        <w:tc>
          <w:tcPr>
            <w:tcW w:w="3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gridSpan w:val="2"/>
          </w:tcPr>
          <w:p>
            <w:pPr>
              <w:jc w:val="right"/>
              <w:ind w:right="440"/>
              <w:spacing w:after="0" w:line="151" w:lineRule="exact"/>
              <w:rPr>
                <w:sz w:val="20"/>
                <w:szCs w:val="20"/>
                <w:color w:val="auto"/>
              </w:rPr>
            </w:pPr>
            <w:r>
              <w:rPr>
                <w:rFonts w:ascii="Times New Roman" w:cs="Times New Roman" w:eastAsia="Times New Roman" w:hAnsi="Times New Roman"/>
                <w:sz w:val="11"/>
                <w:szCs w:val="11"/>
                <w:color w:val="auto"/>
              </w:rPr>
              <w:t xml:space="preserve">As Reported </w:t>
            </w:r>
            <w:r>
              <w:rPr>
                <w:rFonts w:ascii="Times New Roman" w:cs="Times New Roman" w:eastAsia="Times New Roman" w:hAnsi="Times New Roman"/>
                <w:sz w:val="17"/>
                <w:szCs w:val="17"/>
                <w:color w:val="auto"/>
                <w:vertAlign w:val="superscript"/>
              </w:rPr>
              <w:t>(1)</w:t>
            </w:r>
          </w:p>
        </w:tc>
        <w:tc>
          <w:tcPr>
            <w:tcW w:w="120" w:type="dxa"/>
            <w:vAlign w:val="bottom"/>
          </w:tcPr>
          <w:p>
            <w:pPr>
              <w:spacing w:after="0"/>
              <w:rPr>
                <w:sz w:val="13"/>
                <w:szCs w:val="13"/>
                <w:color w:val="auto"/>
              </w:rPr>
            </w:pPr>
          </w:p>
        </w:tc>
        <w:tc>
          <w:tcPr>
            <w:tcW w:w="1260" w:type="dxa"/>
            <w:vAlign w:val="bottom"/>
            <w:gridSpan w:val="2"/>
          </w:tcPr>
          <w:p>
            <w:pPr>
              <w:jc w:val="center"/>
              <w:ind w:right="360"/>
              <w:spacing w:after="0" w:line="151" w:lineRule="exact"/>
              <w:rPr>
                <w:sz w:val="20"/>
                <w:szCs w:val="20"/>
                <w:color w:val="auto"/>
              </w:rPr>
            </w:pPr>
            <w:r>
              <w:rPr>
                <w:rFonts w:ascii="Times New Roman" w:cs="Times New Roman" w:eastAsia="Times New Roman" w:hAnsi="Times New Roman"/>
                <w:sz w:val="11"/>
                <w:szCs w:val="11"/>
                <w:color w:val="auto"/>
              </w:rPr>
              <w:t xml:space="preserve">Adjustments </w:t>
            </w:r>
            <w:r>
              <w:rPr>
                <w:rFonts w:ascii="Times New Roman" w:cs="Times New Roman" w:eastAsia="Times New Roman" w:hAnsi="Times New Roman"/>
                <w:sz w:val="17"/>
                <w:szCs w:val="17"/>
                <w:color w:val="auto"/>
                <w:vertAlign w:val="superscript"/>
              </w:rPr>
              <w:t>(2)</w:t>
            </w:r>
          </w:p>
        </w:tc>
        <w:tc>
          <w:tcPr>
            <w:tcW w:w="180" w:type="dxa"/>
            <w:vAlign w:val="bottom"/>
          </w:tcPr>
          <w:p>
            <w:pPr>
              <w:spacing w:after="0"/>
              <w:rPr>
                <w:sz w:val="13"/>
                <w:szCs w:val="13"/>
                <w:color w:val="auto"/>
              </w:rPr>
            </w:pPr>
          </w:p>
        </w:tc>
        <w:tc>
          <w:tcPr>
            <w:tcW w:w="1160" w:type="dxa"/>
            <w:vAlign w:val="bottom"/>
            <w:gridSpan w:val="2"/>
          </w:tcPr>
          <w:p>
            <w:pPr>
              <w:jc w:val="right"/>
              <w:ind w:right="520"/>
              <w:spacing w:after="0"/>
              <w:rPr>
                <w:sz w:val="20"/>
                <w:szCs w:val="20"/>
                <w:color w:val="auto"/>
              </w:rPr>
            </w:pPr>
            <w:r>
              <w:rPr>
                <w:rFonts w:ascii="Times New Roman" w:cs="Times New Roman" w:eastAsia="Times New Roman" w:hAnsi="Times New Roman"/>
                <w:sz w:val="12"/>
                <w:szCs w:val="12"/>
                <w:color w:val="auto"/>
              </w:rPr>
              <w:t>Pro Forma</w:t>
            </w:r>
          </w:p>
        </w:tc>
        <w:tc>
          <w:tcPr>
            <w:tcW w:w="120" w:type="dxa"/>
            <w:vAlign w:val="bottom"/>
          </w:tcPr>
          <w:p>
            <w:pPr>
              <w:spacing w:after="0"/>
              <w:rPr>
                <w:sz w:val="13"/>
                <w:szCs w:val="13"/>
                <w:color w:val="auto"/>
              </w:rPr>
            </w:pPr>
          </w:p>
        </w:tc>
        <w:tc>
          <w:tcPr>
            <w:tcW w:w="1220" w:type="dxa"/>
            <w:vAlign w:val="bottom"/>
            <w:gridSpan w:val="2"/>
          </w:tcPr>
          <w:p>
            <w:pPr>
              <w:jc w:val="right"/>
              <w:ind w:right="400"/>
              <w:spacing w:after="0" w:line="151" w:lineRule="exact"/>
              <w:rPr>
                <w:sz w:val="20"/>
                <w:szCs w:val="20"/>
                <w:color w:val="auto"/>
              </w:rPr>
            </w:pPr>
            <w:r>
              <w:rPr>
                <w:rFonts w:ascii="Times New Roman" w:cs="Times New Roman" w:eastAsia="Times New Roman" w:hAnsi="Times New Roman"/>
                <w:sz w:val="11"/>
                <w:szCs w:val="11"/>
                <w:color w:val="auto"/>
              </w:rPr>
              <w:t xml:space="preserve">As Reported </w:t>
            </w:r>
            <w:r>
              <w:rPr>
                <w:rFonts w:ascii="Times New Roman" w:cs="Times New Roman" w:eastAsia="Times New Roman" w:hAnsi="Times New Roman"/>
                <w:sz w:val="17"/>
                <w:szCs w:val="17"/>
                <w:color w:val="auto"/>
                <w:vertAlign w:val="superscript"/>
              </w:rPr>
              <w:t>(1)</w:t>
            </w:r>
          </w:p>
        </w:tc>
        <w:tc>
          <w:tcPr>
            <w:tcW w:w="120" w:type="dxa"/>
            <w:vAlign w:val="bottom"/>
          </w:tcPr>
          <w:p>
            <w:pPr>
              <w:spacing w:after="0"/>
              <w:rPr>
                <w:sz w:val="13"/>
                <w:szCs w:val="13"/>
                <w:color w:val="auto"/>
              </w:rPr>
            </w:pPr>
          </w:p>
        </w:tc>
        <w:tc>
          <w:tcPr>
            <w:tcW w:w="1220" w:type="dxa"/>
            <w:vAlign w:val="bottom"/>
            <w:gridSpan w:val="2"/>
          </w:tcPr>
          <w:p>
            <w:pPr>
              <w:jc w:val="center"/>
              <w:ind w:right="320"/>
              <w:spacing w:after="0" w:line="151" w:lineRule="exact"/>
              <w:rPr>
                <w:sz w:val="20"/>
                <w:szCs w:val="20"/>
                <w:color w:val="auto"/>
              </w:rPr>
            </w:pPr>
            <w:r>
              <w:rPr>
                <w:rFonts w:ascii="Times New Roman" w:cs="Times New Roman" w:eastAsia="Times New Roman" w:hAnsi="Times New Roman"/>
                <w:sz w:val="11"/>
                <w:szCs w:val="11"/>
                <w:color w:val="auto"/>
              </w:rPr>
              <w:t xml:space="preserve">Adjustments </w:t>
            </w:r>
            <w:r>
              <w:rPr>
                <w:rFonts w:ascii="Times New Roman" w:cs="Times New Roman" w:eastAsia="Times New Roman" w:hAnsi="Times New Roman"/>
                <w:sz w:val="17"/>
                <w:szCs w:val="17"/>
                <w:color w:val="auto"/>
                <w:vertAlign w:val="superscript"/>
              </w:rPr>
              <w:t>(2)</w:t>
            </w:r>
          </w:p>
        </w:tc>
        <w:tc>
          <w:tcPr>
            <w:tcW w:w="160" w:type="dxa"/>
            <w:vAlign w:val="bottom"/>
          </w:tcPr>
          <w:p>
            <w:pPr>
              <w:spacing w:after="0"/>
              <w:rPr>
                <w:sz w:val="13"/>
                <w:szCs w:val="13"/>
                <w:color w:val="auto"/>
              </w:rPr>
            </w:pPr>
          </w:p>
        </w:tc>
        <w:tc>
          <w:tcPr>
            <w:tcW w:w="1080" w:type="dxa"/>
            <w:vAlign w:val="bottom"/>
            <w:gridSpan w:val="2"/>
          </w:tcPr>
          <w:p>
            <w:pPr>
              <w:jc w:val="right"/>
              <w:ind w:right="420"/>
              <w:spacing w:after="0"/>
              <w:rPr>
                <w:sz w:val="20"/>
                <w:szCs w:val="20"/>
                <w:color w:val="auto"/>
              </w:rPr>
            </w:pPr>
            <w:r>
              <w:rPr>
                <w:rFonts w:ascii="Times New Roman" w:cs="Times New Roman" w:eastAsia="Times New Roman" w:hAnsi="Times New Roman"/>
                <w:sz w:val="12"/>
                <w:szCs w:val="12"/>
                <w:color w:val="auto"/>
              </w:rPr>
              <w:t>Pro Forma</w:t>
            </w:r>
          </w:p>
        </w:tc>
      </w:tr>
      <w:tr>
        <w:trPr>
          <w:trHeight w:val="155"/>
        </w:trPr>
        <w:tc>
          <w:tcPr>
            <w:tcW w:w="3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gridSpan w:val="2"/>
          </w:tcPr>
          <w:p>
            <w:pPr>
              <w:jc w:val="right"/>
              <w:ind w:right="500"/>
              <w:spacing w:after="0"/>
              <w:rPr>
                <w:sz w:val="20"/>
                <w:szCs w:val="20"/>
                <w:color w:val="auto"/>
              </w:rPr>
            </w:pPr>
            <w:r>
              <w:rPr>
                <w:rFonts w:ascii="Times New Roman" w:cs="Times New Roman" w:eastAsia="Times New Roman" w:hAnsi="Times New Roman"/>
                <w:sz w:val="12"/>
                <w:szCs w:val="12"/>
                <w:color w:val="auto"/>
              </w:rPr>
              <w:t>Feb 28, 2026</w:t>
            </w:r>
          </w:p>
        </w:tc>
        <w:tc>
          <w:tcPr>
            <w:tcW w:w="120" w:type="dxa"/>
            <w:vAlign w:val="bottom"/>
          </w:tcPr>
          <w:p>
            <w:pPr>
              <w:spacing w:after="0"/>
              <w:rPr>
                <w:sz w:val="13"/>
                <w:szCs w:val="13"/>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2"/>
                <w:szCs w:val="12"/>
                <w:color w:val="auto"/>
                <w:w w:val="98"/>
              </w:rPr>
              <w:t>Feb 28, 2026</w:t>
            </w:r>
          </w:p>
        </w:tc>
        <w:tc>
          <w:tcPr>
            <w:tcW w:w="180" w:type="dxa"/>
            <w:vAlign w:val="bottom"/>
          </w:tcPr>
          <w:p>
            <w:pPr>
              <w:spacing w:after="0"/>
              <w:rPr>
                <w:sz w:val="13"/>
                <w:szCs w:val="13"/>
                <w:color w:val="auto"/>
              </w:rPr>
            </w:pPr>
          </w:p>
        </w:tc>
        <w:tc>
          <w:tcPr>
            <w:tcW w:w="1160" w:type="dxa"/>
            <w:vAlign w:val="bottom"/>
            <w:gridSpan w:val="2"/>
          </w:tcPr>
          <w:p>
            <w:pPr>
              <w:jc w:val="right"/>
              <w:ind w:right="460"/>
              <w:spacing w:after="0"/>
              <w:rPr>
                <w:sz w:val="20"/>
                <w:szCs w:val="20"/>
                <w:color w:val="auto"/>
              </w:rPr>
            </w:pPr>
            <w:r>
              <w:rPr>
                <w:rFonts w:ascii="Times New Roman" w:cs="Times New Roman" w:eastAsia="Times New Roman" w:hAnsi="Times New Roman"/>
                <w:sz w:val="12"/>
                <w:szCs w:val="12"/>
                <w:color w:val="auto"/>
              </w:rPr>
              <w:t>Feb 28, 2026</w:t>
            </w:r>
          </w:p>
        </w:tc>
        <w:tc>
          <w:tcPr>
            <w:tcW w:w="120" w:type="dxa"/>
            <w:vAlign w:val="bottom"/>
          </w:tcPr>
          <w:p>
            <w:pPr>
              <w:spacing w:after="0"/>
              <w:rPr>
                <w:sz w:val="13"/>
                <w:szCs w:val="13"/>
                <w:color w:val="auto"/>
              </w:rPr>
            </w:pPr>
          </w:p>
        </w:tc>
        <w:tc>
          <w:tcPr>
            <w:tcW w:w="1220" w:type="dxa"/>
            <w:vAlign w:val="bottom"/>
            <w:gridSpan w:val="2"/>
          </w:tcPr>
          <w:p>
            <w:pPr>
              <w:jc w:val="right"/>
              <w:ind w:right="460"/>
              <w:spacing w:after="0"/>
              <w:rPr>
                <w:sz w:val="20"/>
                <w:szCs w:val="20"/>
                <w:color w:val="auto"/>
              </w:rPr>
            </w:pPr>
            <w:r>
              <w:rPr>
                <w:rFonts w:ascii="Times New Roman" w:cs="Times New Roman" w:eastAsia="Times New Roman" w:hAnsi="Times New Roman"/>
                <w:sz w:val="12"/>
                <w:szCs w:val="12"/>
                <w:color w:val="auto"/>
              </w:rPr>
              <w:t>Feb 28, 2025</w:t>
            </w:r>
          </w:p>
        </w:tc>
        <w:tc>
          <w:tcPr>
            <w:tcW w:w="120" w:type="dxa"/>
            <w:vAlign w:val="bottom"/>
          </w:tcPr>
          <w:p>
            <w:pPr>
              <w:spacing w:after="0"/>
              <w:rPr>
                <w:sz w:val="13"/>
                <w:szCs w:val="13"/>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2"/>
                <w:szCs w:val="12"/>
                <w:color w:val="auto"/>
              </w:rPr>
              <w:t>Feb 28, 2025</w:t>
            </w:r>
          </w:p>
        </w:tc>
        <w:tc>
          <w:tcPr>
            <w:tcW w:w="160" w:type="dxa"/>
            <w:vAlign w:val="bottom"/>
          </w:tcPr>
          <w:p>
            <w:pPr>
              <w:spacing w:after="0"/>
              <w:rPr>
                <w:sz w:val="13"/>
                <w:szCs w:val="13"/>
                <w:color w:val="auto"/>
              </w:rPr>
            </w:pPr>
          </w:p>
        </w:tc>
        <w:tc>
          <w:tcPr>
            <w:tcW w:w="1080" w:type="dxa"/>
            <w:vAlign w:val="bottom"/>
            <w:gridSpan w:val="2"/>
          </w:tcPr>
          <w:p>
            <w:pPr>
              <w:jc w:val="right"/>
              <w:ind w:right="360"/>
              <w:spacing w:after="0"/>
              <w:rPr>
                <w:sz w:val="20"/>
                <w:szCs w:val="20"/>
                <w:color w:val="auto"/>
              </w:rPr>
            </w:pPr>
            <w:r>
              <w:rPr>
                <w:rFonts w:ascii="Times New Roman" w:cs="Times New Roman" w:eastAsia="Times New Roman" w:hAnsi="Times New Roman"/>
                <w:sz w:val="12"/>
                <w:szCs w:val="12"/>
                <w:color w:val="auto"/>
              </w:rPr>
              <w:t>Feb 28, 2025</w:t>
            </w:r>
          </w:p>
        </w:tc>
      </w:tr>
      <w:tr>
        <w:trPr>
          <w:trHeight w:val="153"/>
        </w:trPr>
        <w:tc>
          <w:tcPr>
            <w:tcW w:w="32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jc w:val="center"/>
              <w:ind w:right="80"/>
              <w:spacing w:after="0"/>
              <w:rPr>
                <w:sz w:val="20"/>
                <w:szCs w:val="20"/>
                <w:color w:val="auto"/>
              </w:rPr>
            </w:pPr>
            <w:r>
              <w:rPr>
                <w:rFonts w:ascii="Times New Roman" w:cs="Times New Roman" w:eastAsia="Times New Roman" w:hAnsi="Times New Roman"/>
                <w:sz w:val="12"/>
                <w:szCs w:val="12"/>
                <w:color w:val="auto"/>
              </w:rPr>
              <w:t>(unaudited)</w:t>
            </w:r>
          </w:p>
        </w:tc>
        <w:tc>
          <w:tcPr>
            <w:tcW w:w="24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jc w:val="center"/>
              <w:ind w:right="60"/>
              <w:spacing w:after="0"/>
              <w:rPr>
                <w:sz w:val="20"/>
                <w:szCs w:val="20"/>
                <w:color w:val="auto"/>
              </w:rPr>
            </w:pPr>
            <w:r>
              <w:rPr>
                <w:rFonts w:ascii="Times New Roman" w:cs="Times New Roman" w:eastAsia="Times New Roman" w:hAnsi="Times New Roman"/>
                <w:sz w:val="12"/>
                <w:szCs w:val="12"/>
                <w:color w:val="auto"/>
              </w:rPr>
              <w:t>(unaudited)</w:t>
            </w:r>
          </w:p>
        </w:tc>
        <w:tc>
          <w:tcPr>
            <w:tcW w:w="2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33"/>
        </w:trPr>
        <w:tc>
          <w:tcPr>
            <w:tcW w:w="3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gridSpan w:val="2"/>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gridSpan w:val="2"/>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2"/>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2"/>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gridSpan w:val="2"/>
          </w:tcPr>
          <w:p>
            <w:pPr>
              <w:spacing w:after="0"/>
              <w:rPr>
                <w:sz w:val="11"/>
                <w:szCs w:val="11"/>
                <w:color w:val="auto"/>
              </w:rPr>
            </w:pPr>
          </w:p>
        </w:tc>
      </w:tr>
      <w:tr>
        <w:trPr>
          <w:trHeight w:val="144"/>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Net loss</w:t>
            </w:r>
          </w:p>
        </w:tc>
        <w:tc>
          <w:tcPr>
            <w:tcW w:w="12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(25,337)</w:t>
            </w:r>
          </w:p>
        </w:tc>
        <w:tc>
          <w:tcPr>
            <w:tcW w:w="12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(5,002)</w:t>
            </w:r>
          </w:p>
        </w:tc>
        <w:tc>
          <w:tcPr>
            <w:tcW w:w="18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(30,339)</w:t>
            </w:r>
          </w:p>
        </w:tc>
        <w:tc>
          <w:tcPr>
            <w:tcW w:w="12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(27,943)</w:t>
            </w:r>
          </w:p>
        </w:tc>
        <w:tc>
          <w:tcPr>
            <w:tcW w:w="12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(5,628)</w:t>
            </w:r>
          </w:p>
        </w:tc>
        <w:tc>
          <w:tcPr>
            <w:tcW w:w="16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(33,571)</w:t>
            </w:r>
          </w:p>
        </w:tc>
      </w:tr>
      <w:tr>
        <w:trPr>
          <w:trHeight w:val="144"/>
        </w:trPr>
        <w:tc>
          <w:tcPr>
            <w:tcW w:w="3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spacing w:after="0"/>
              <w:rPr>
                <w:sz w:val="12"/>
                <w:szCs w:val="12"/>
                <w:color w:val="auto"/>
              </w:rPr>
            </w:pPr>
          </w:p>
        </w:tc>
      </w:tr>
      <w:tr>
        <w:trPr>
          <w:trHeight w:val="144"/>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Income tax expense</w:t>
            </w: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72</w:t>
            </w: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72</w:t>
            </w:r>
          </w:p>
        </w:tc>
        <w:tc>
          <w:tcPr>
            <w:tcW w:w="12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21</w:t>
            </w:r>
          </w:p>
        </w:tc>
        <w:tc>
          <w:tcPr>
            <w:tcW w:w="12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21</w:t>
            </w:r>
          </w:p>
        </w:tc>
      </w:tr>
      <w:tr>
        <w:trPr>
          <w:trHeight w:val="144"/>
        </w:trPr>
        <w:tc>
          <w:tcPr>
            <w:tcW w:w="3280" w:type="dxa"/>
            <w:vAlign w:val="bottom"/>
          </w:tcPr>
          <w:p>
            <w:pPr>
              <w:spacing w:after="0"/>
              <w:rPr>
                <w:sz w:val="20"/>
                <w:szCs w:val="20"/>
                <w:color w:val="auto"/>
              </w:rPr>
            </w:pPr>
            <w:r>
              <w:rPr>
                <w:rFonts w:ascii="Times New Roman" w:cs="Times New Roman" w:eastAsia="Times New Roman" w:hAnsi="Times New Roman"/>
                <w:sz w:val="12"/>
                <w:szCs w:val="12"/>
                <w:color w:val="auto"/>
              </w:rPr>
              <w:t>Interest expense (income), net</w:t>
            </w:r>
          </w:p>
        </w:tc>
        <w:tc>
          <w:tcPr>
            <w:tcW w:w="12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194</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194</w:t>
            </w:r>
          </w:p>
        </w:tc>
        <w:tc>
          <w:tcPr>
            <w:tcW w:w="120" w:type="dxa"/>
            <w:vAlign w:val="bottom"/>
          </w:tcPr>
          <w:p>
            <w:pPr>
              <w:spacing w:after="0"/>
              <w:rPr>
                <w:sz w:val="12"/>
                <w:szCs w:val="12"/>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(975)</w:t>
            </w:r>
          </w:p>
        </w:tc>
        <w:tc>
          <w:tcPr>
            <w:tcW w:w="120" w:type="dxa"/>
            <w:vAlign w:val="bottom"/>
          </w:tcPr>
          <w:p>
            <w:pPr>
              <w:spacing w:after="0"/>
              <w:rPr>
                <w:sz w:val="12"/>
                <w:szCs w:val="12"/>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(975)</w:t>
            </w:r>
          </w:p>
        </w:tc>
      </w:tr>
      <w:tr>
        <w:trPr>
          <w:trHeight w:val="144"/>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Depreciation and amortization</w:t>
            </w: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17,358</w:t>
            </w: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17,358</w:t>
            </w:r>
          </w:p>
        </w:tc>
        <w:tc>
          <w:tcPr>
            <w:tcW w:w="12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19,967</w:t>
            </w:r>
          </w:p>
        </w:tc>
        <w:tc>
          <w:tcPr>
            <w:tcW w:w="12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19,967</w:t>
            </w:r>
          </w:p>
        </w:tc>
      </w:tr>
      <w:tr>
        <w:trPr>
          <w:trHeight w:val="144"/>
        </w:trPr>
        <w:tc>
          <w:tcPr>
            <w:tcW w:w="3280" w:type="dxa"/>
            <w:vAlign w:val="bottom"/>
          </w:tcPr>
          <w:p>
            <w:pPr>
              <w:spacing w:after="0"/>
              <w:rPr>
                <w:sz w:val="20"/>
                <w:szCs w:val="20"/>
                <w:color w:val="auto"/>
              </w:rPr>
            </w:pPr>
            <w:r>
              <w:rPr>
                <w:rFonts w:ascii="Times New Roman" w:cs="Times New Roman" w:eastAsia="Times New Roman" w:hAnsi="Times New Roman"/>
                <w:sz w:val="12"/>
                <w:szCs w:val="12"/>
                <w:color w:val="auto"/>
              </w:rPr>
              <w:t>Change in fair value of contingent consideration</w:t>
            </w:r>
          </w:p>
        </w:tc>
        <w:tc>
          <w:tcPr>
            <w:tcW w:w="120" w:type="dxa"/>
            <w:vAlign w:val="bottom"/>
          </w:tcPr>
          <w:p>
            <w:pPr>
              <w:spacing w:after="0"/>
              <w:rPr>
                <w:sz w:val="12"/>
                <w:szCs w:val="12"/>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2"/>
                <w:szCs w:val="12"/>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2"/>
                <w:szCs w:val="12"/>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272</w:t>
            </w:r>
          </w:p>
        </w:tc>
        <w:tc>
          <w:tcPr>
            <w:tcW w:w="120" w:type="dxa"/>
            <w:vAlign w:val="bottom"/>
          </w:tcPr>
          <w:p>
            <w:pPr>
              <w:spacing w:after="0"/>
              <w:rPr>
                <w:sz w:val="12"/>
                <w:szCs w:val="12"/>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272</w:t>
            </w:r>
          </w:p>
        </w:tc>
      </w:tr>
      <w:tr>
        <w:trPr>
          <w:trHeight w:val="144"/>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Stock based compensation</w:t>
            </w: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10,045</w:t>
            </w: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10,045</w:t>
            </w:r>
          </w:p>
        </w:tc>
        <w:tc>
          <w:tcPr>
            <w:tcW w:w="12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8,131</w:t>
            </w:r>
          </w:p>
        </w:tc>
        <w:tc>
          <w:tcPr>
            <w:tcW w:w="12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8,131</w:t>
            </w:r>
          </w:p>
        </w:tc>
      </w:tr>
      <w:tr>
        <w:trPr>
          <w:trHeight w:val="144"/>
        </w:trPr>
        <w:tc>
          <w:tcPr>
            <w:tcW w:w="3280" w:type="dxa"/>
            <w:vAlign w:val="bottom"/>
          </w:tcPr>
          <w:p>
            <w:pPr>
              <w:spacing w:after="0" w:line="144" w:lineRule="exact"/>
              <w:rPr>
                <w:sz w:val="20"/>
                <w:szCs w:val="20"/>
                <w:color w:val="auto"/>
              </w:rPr>
            </w:pPr>
            <w:r>
              <w:rPr>
                <w:rFonts w:ascii="Times New Roman" w:cs="Times New Roman" w:eastAsia="Times New Roman" w:hAnsi="Times New Roman"/>
                <w:sz w:val="10"/>
                <w:szCs w:val="10"/>
                <w:color w:val="auto"/>
              </w:rPr>
              <w:t xml:space="preserve">Acquisition, restructuring and other items, net </w:t>
            </w:r>
            <w:r>
              <w:rPr>
                <w:rFonts w:ascii="Times New Roman" w:cs="Times New Roman" w:eastAsia="Times New Roman" w:hAnsi="Times New Roman"/>
                <w:sz w:val="16"/>
                <w:szCs w:val="16"/>
                <w:color w:val="auto"/>
                <w:vertAlign w:val="superscript"/>
              </w:rPr>
              <w:t>(3)</w:t>
            </w:r>
          </w:p>
        </w:tc>
        <w:tc>
          <w:tcPr>
            <w:tcW w:w="12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12,578</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12,578</w:t>
            </w:r>
          </w:p>
        </w:tc>
        <w:tc>
          <w:tcPr>
            <w:tcW w:w="120" w:type="dxa"/>
            <w:vAlign w:val="bottom"/>
          </w:tcPr>
          <w:p>
            <w:pPr>
              <w:spacing w:after="0"/>
              <w:rPr>
                <w:sz w:val="12"/>
                <w:szCs w:val="12"/>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10,239</w:t>
            </w:r>
          </w:p>
        </w:tc>
        <w:tc>
          <w:tcPr>
            <w:tcW w:w="120" w:type="dxa"/>
            <w:vAlign w:val="bottom"/>
          </w:tcPr>
          <w:p>
            <w:pPr>
              <w:spacing w:after="0"/>
              <w:rPr>
                <w:sz w:val="12"/>
                <w:szCs w:val="12"/>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161</w:t>
            </w:r>
          </w:p>
        </w:tc>
        <w:tc>
          <w:tcPr>
            <w:tcW w:w="1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10,400</w:t>
            </w:r>
          </w:p>
        </w:tc>
      </w:tr>
      <w:tr>
        <w:trPr>
          <w:trHeight w:val="182"/>
        </w:trPr>
        <w:tc>
          <w:tcPr>
            <w:tcW w:w="32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Adjusted EBITDA</w:t>
            </w:r>
          </w:p>
        </w:tc>
        <w:tc>
          <w:tcPr>
            <w:tcW w:w="12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14,910</w:t>
            </w:r>
          </w:p>
        </w:tc>
        <w:tc>
          <w:tcPr>
            <w:tcW w:w="2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(5,002)</w:t>
            </w:r>
          </w:p>
        </w:tc>
        <w:tc>
          <w:tcPr>
            <w:tcW w:w="24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9,908</w:t>
            </w:r>
          </w:p>
        </w:tc>
        <w:tc>
          <w:tcPr>
            <w:tcW w:w="2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9,712</w:t>
            </w:r>
          </w:p>
        </w:tc>
        <w:tc>
          <w:tcPr>
            <w:tcW w:w="2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(5,467)</w:t>
            </w:r>
          </w:p>
        </w:tc>
        <w:tc>
          <w:tcPr>
            <w:tcW w:w="2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4,245</w:t>
            </w:r>
          </w:p>
        </w:tc>
        <w:tc>
          <w:tcPr>
            <w:tcW w:w="120" w:type="dxa"/>
            <w:vAlign w:val="bottom"/>
            <w:tcBorders>
              <w:bottom w:val="single" w:sz="8" w:color="CCEEFF"/>
            </w:tcBorders>
            <w:shd w:val="clear" w:color="auto" w:fill="CCEEFF"/>
          </w:tcPr>
          <w:p>
            <w:pPr>
              <w:spacing w:after="0"/>
              <w:rPr>
                <w:sz w:val="15"/>
                <w:szCs w:val="15"/>
                <w:color w:val="auto"/>
              </w:rPr>
            </w:pPr>
          </w:p>
        </w:tc>
      </w:tr>
    </w:tbl>
    <w:p>
      <w:pPr>
        <w:spacing w:after="0" w:line="133" w:lineRule="exact"/>
        <w:rPr>
          <w:sz w:val="20"/>
          <w:szCs w:val="20"/>
          <w:color w:val="auto"/>
        </w:rPr>
      </w:pPr>
    </w:p>
    <w:p>
      <w:pPr>
        <w:ind w:left="8" w:right="260" w:hanging="8"/>
        <w:spacing w:after="0" w:line="279" w:lineRule="auto"/>
        <w:tabs>
          <w:tab w:leader="none" w:pos="208" w:val="left"/>
        </w:tabs>
        <w:numPr>
          <w:ilvl w:val="0"/>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Reflects the Company's US GAAP consolidated financial statements before pro forma adjustments related to the sale of the Dialysis and BioSentry Businesses on June 8, 2023, the sale of the PICCs and Midlines Businesses on February 15, 2024 and the discontinuation of the RadioFrequency Ablation and Syntrax products ("the Businesses") as of February 29, 2024, for the nine months ended February 28, 2026 and 2025, respectively .</w:t>
      </w:r>
    </w:p>
    <w:p>
      <w:pPr>
        <w:spacing w:after="0" w:line="111" w:lineRule="exact"/>
        <w:rPr>
          <w:rFonts w:ascii="Times New Roman" w:cs="Times New Roman" w:eastAsia="Times New Roman" w:hAnsi="Times New Roman"/>
          <w:sz w:val="12"/>
          <w:szCs w:val="12"/>
          <w:color w:val="auto"/>
        </w:rPr>
      </w:pPr>
    </w:p>
    <w:p>
      <w:pPr>
        <w:ind w:left="168" w:hanging="168"/>
        <w:spacing w:after="0"/>
        <w:tabs>
          <w:tab w:leader="none" w:pos="168" w:val="left"/>
        </w:tabs>
        <w:numPr>
          <w:ilvl w:val="0"/>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Reflects the elimination of revenues and expenses representing the operating results from the sales and discontinuation of the Businesses.</w:t>
      </w:r>
    </w:p>
    <w:p>
      <w:pPr>
        <w:spacing w:after="0" w:line="150" w:lineRule="exact"/>
        <w:rPr>
          <w:rFonts w:ascii="Times New Roman" w:cs="Times New Roman" w:eastAsia="Times New Roman" w:hAnsi="Times New Roman"/>
          <w:sz w:val="12"/>
          <w:szCs w:val="12"/>
          <w:color w:val="auto"/>
        </w:rPr>
      </w:pPr>
    </w:p>
    <w:p>
      <w:pPr>
        <w:ind w:left="208" w:hanging="208"/>
        <w:spacing w:after="0"/>
        <w:tabs>
          <w:tab w:leader="none" w:pos="208" w:val="left"/>
        </w:tabs>
        <w:numPr>
          <w:ilvl w:val="0"/>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Includes costs related to merger and acquisition activities, restructuring, and unusual items, including asset impairments and write-offs, certain litigation, and other items.</w:t>
      </w:r>
    </w:p>
    <w:p>
      <w:pPr>
        <w:spacing w:after="0" w:line="263"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0"/>
          <w:szCs w:val="10"/>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21590</wp:posOffset>
            </wp:positionV>
            <wp:extent cx="7178040" cy="114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8"/>
          </w:cols>
          <w:pgMar w:left="292" w:top="125" w:right="299" w:bottom="1440" w:gutter="0" w:footer="0" w:header="0"/>
        </w:sectPr>
      </w:pPr>
    </w:p>
    <w:bookmarkStart w:id="15" w:name="page16"/>
    <w:bookmarkEnd w:id="15"/>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ANGIODYNAMICS, INC. AND SUBSIDIARIES</w:t>
      </w:r>
    </w:p>
    <w:p>
      <w:pPr>
        <w:spacing w:after="0" w:line="2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ACQUISITION, RESTRUCTURING, AND OTHER ITEMS, NET DETAIL</w:t>
      </w:r>
    </w:p>
    <w:p>
      <w:pPr>
        <w:spacing w:after="0" w:line="6"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(in thousands)</w:t>
      </w:r>
    </w:p>
    <w:p>
      <w:pPr>
        <w:spacing w:after="0" w:line="139" w:lineRule="exact"/>
        <w:rPr>
          <w:sz w:val="20"/>
          <w:szCs w:val="20"/>
          <w:color w:val="auto"/>
        </w:rPr>
      </w:pPr>
    </w:p>
    <w:tbl>
      <w:tblPr>
        <w:tblLayout w:type="fixed"/>
        <w:tblInd w:w="8" w:type="dxa"/>
        <w:tblCellMar>
          <w:top w:w="0" w:type="dxa"/>
          <w:left w:w="0" w:type="dxa"/>
          <w:bottom w:w="0" w:type="dxa"/>
          <w:right w:w="0" w:type="dxa"/>
        </w:tblCellMar>
      </w:tblPr>
      <w:tr>
        <w:trPr>
          <w:trHeight w:val="155"/>
        </w:trPr>
        <w:tc>
          <w:tcPr>
            <w:tcW w:w="60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560" w:type="dxa"/>
            <w:vAlign w:val="bottom"/>
            <w:gridSpan w:val="5"/>
          </w:tcPr>
          <w:p>
            <w:pPr>
              <w:jc w:val="right"/>
              <w:ind w:right="960"/>
              <w:spacing w:after="0"/>
              <w:rPr>
                <w:sz w:val="20"/>
                <w:szCs w:val="20"/>
                <w:color w:val="auto"/>
              </w:rPr>
            </w:pPr>
            <w:r>
              <w:rPr>
                <w:rFonts w:ascii="Times New Roman" w:cs="Times New Roman" w:eastAsia="Times New Roman" w:hAnsi="Times New Roman"/>
                <w:sz w:val="12"/>
                <w:szCs w:val="12"/>
                <w:color w:val="auto"/>
              </w:rPr>
              <w:t>Three Months Ended</w:t>
            </w:r>
          </w:p>
        </w:tc>
        <w:tc>
          <w:tcPr>
            <w:tcW w:w="160" w:type="dxa"/>
            <w:vAlign w:val="bottom"/>
          </w:tcPr>
          <w:p>
            <w:pPr>
              <w:spacing w:after="0"/>
              <w:rPr>
                <w:sz w:val="13"/>
                <w:szCs w:val="13"/>
                <w:color w:val="auto"/>
              </w:rPr>
            </w:pPr>
          </w:p>
        </w:tc>
        <w:tc>
          <w:tcPr>
            <w:tcW w:w="2420" w:type="dxa"/>
            <w:vAlign w:val="bottom"/>
            <w:gridSpan w:val="5"/>
          </w:tcPr>
          <w:p>
            <w:pPr>
              <w:jc w:val="right"/>
              <w:ind w:right="860"/>
              <w:spacing w:after="0"/>
              <w:rPr>
                <w:sz w:val="20"/>
                <w:szCs w:val="20"/>
                <w:color w:val="auto"/>
              </w:rPr>
            </w:pPr>
            <w:r>
              <w:rPr>
                <w:rFonts w:ascii="Times New Roman" w:cs="Times New Roman" w:eastAsia="Times New Roman" w:hAnsi="Times New Roman"/>
                <w:sz w:val="12"/>
                <w:szCs w:val="12"/>
                <w:color w:val="auto"/>
              </w:rPr>
              <w:t>Nine Months Ended</w:t>
            </w:r>
          </w:p>
        </w:tc>
      </w:tr>
      <w:tr>
        <w:trPr>
          <w:trHeight w:val="142"/>
        </w:trPr>
        <w:tc>
          <w:tcPr>
            <w:tcW w:w="600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200"/>
              <w:spacing w:after="0"/>
              <w:rPr>
                <w:sz w:val="20"/>
                <w:szCs w:val="20"/>
                <w:color w:val="auto"/>
              </w:rPr>
            </w:pPr>
            <w:r>
              <w:rPr>
                <w:rFonts w:ascii="Times New Roman" w:cs="Times New Roman" w:eastAsia="Times New Roman" w:hAnsi="Times New Roman"/>
                <w:sz w:val="12"/>
                <w:szCs w:val="12"/>
                <w:color w:val="auto"/>
              </w:rPr>
              <w:t>Feb 28, 2026</w:t>
            </w:r>
          </w:p>
        </w:tc>
        <w:tc>
          <w:tcPr>
            <w:tcW w:w="240" w:type="dxa"/>
            <w:vAlign w:val="bottom"/>
            <w:tcBorders>
              <w:top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180"/>
              <w:spacing w:after="0"/>
              <w:rPr>
                <w:sz w:val="20"/>
                <w:szCs w:val="20"/>
                <w:color w:val="auto"/>
              </w:rPr>
            </w:pPr>
            <w:r>
              <w:rPr>
                <w:rFonts w:ascii="Times New Roman" w:cs="Times New Roman" w:eastAsia="Times New Roman" w:hAnsi="Times New Roman"/>
                <w:sz w:val="12"/>
                <w:szCs w:val="12"/>
                <w:color w:val="auto"/>
              </w:rPr>
              <w:t>Feb 28, 2025</w:t>
            </w:r>
          </w:p>
        </w:tc>
        <w:tc>
          <w:tcPr>
            <w:tcW w:w="22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180"/>
              <w:spacing w:after="0"/>
              <w:rPr>
                <w:sz w:val="20"/>
                <w:szCs w:val="20"/>
                <w:color w:val="auto"/>
              </w:rPr>
            </w:pPr>
            <w:r>
              <w:rPr>
                <w:rFonts w:ascii="Times New Roman" w:cs="Times New Roman" w:eastAsia="Times New Roman" w:hAnsi="Times New Roman"/>
                <w:sz w:val="12"/>
                <w:szCs w:val="12"/>
                <w:color w:val="auto"/>
              </w:rPr>
              <w:t>Feb 28, 2026</w:t>
            </w:r>
          </w:p>
        </w:tc>
        <w:tc>
          <w:tcPr>
            <w:tcW w:w="220" w:type="dxa"/>
            <w:vAlign w:val="bottom"/>
            <w:tcBorders>
              <w:top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180"/>
              <w:spacing w:after="0"/>
              <w:rPr>
                <w:sz w:val="20"/>
                <w:szCs w:val="20"/>
                <w:color w:val="auto"/>
              </w:rPr>
            </w:pPr>
            <w:r>
              <w:rPr>
                <w:rFonts w:ascii="Times New Roman" w:cs="Times New Roman" w:eastAsia="Times New Roman" w:hAnsi="Times New Roman"/>
                <w:sz w:val="12"/>
                <w:szCs w:val="12"/>
                <w:color w:val="auto"/>
              </w:rPr>
              <w:t>Feb 28, 2025</w:t>
            </w:r>
          </w:p>
        </w:tc>
        <w:tc>
          <w:tcPr>
            <w:tcW w:w="120" w:type="dxa"/>
            <w:vAlign w:val="bottom"/>
          </w:tcPr>
          <w:p>
            <w:pPr>
              <w:spacing w:after="0"/>
              <w:rPr>
                <w:sz w:val="12"/>
                <w:szCs w:val="12"/>
                <w:color w:val="auto"/>
              </w:rPr>
            </w:pPr>
          </w:p>
        </w:tc>
      </w:tr>
      <w:tr>
        <w:trPr>
          <w:trHeight w:val="142"/>
        </w:trPr>
        <w:tc>
          <w:tcPr>
            <w:tcW w:w="6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gridSpan w:val="3"/>
          </w:tcPr>
          <w:p>
            <w:pPr>
              <w:jc w:val="right"/>
              <w:ind w:right="6"/>
              <w:spacing w:after="0"/>
              <w:rPr>
                <w:sz w:val="20"/>
                <w:szCs w:val="20"/>
                <w:color w:val="auto"/>
              </w:rPr>
            </w:pPr>
            <w:r>
              <w:rPr>
                <w:rFonts w:ascii="Times New Roman" w:cs="Times New Roman" w:eastAsia="Times New Roman" w:hAnsi="Times New Roman"/>
                <w:sz w:val="12"/>
                <w:szCs w:val="12"/>
                <w:color w:val="auto"/>
              </w:rPr>
              <w:t>(unaudited)</w:t>
            </w: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(unaudited)</w:t>
            </w: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6000" w:type="dxa"/>
            <w:vAlign w:val="bottom"/>
            <w:shd w:val="clear" w:color="auto" w:fill="CCEEFF"/>
          </w:tcPr>
          <w:p>
            <w:pPr>
              <w:spacing w:after="0" w:line="144" w:lineRule="exact"/>
              <w:rPr>
                <w:sz w:val="20"/>
                <w:szCs w:val="20"/>
                <w:color w:val="auto"/>
              </w:rPr>
            </w:pPr>
            <w:r>
              <w:rPr>
                <w:rFonts w:ascii="Times New Roman" w:cs="Times New Roman" w:eastAsia="Times New Roman" w:hAnsi="Times New Roman"/>
                <w:sz w:val="10"/>
                <w:szCs w:val="10"/>
                <w:color w:val="auto"/>
              </w:rPr>
              <w:t xml:space="preserve">Legal </w:t>
            </w:r>
            <w:r>
              <w:rPr>
                <w:rFonts w:ascii="Times New Roman" w:cs="Times New Roman" w:eastAsia="Times New Roman" w:hAnsi="Times New Roman"/>
                <w:sz w:val="16"/>
                <w:szCs w:val="16"/>
                <w:color w:val="auto"/>
                <w:vertAlign w:val="superscript"/>
              </w:rPr>
              <w:t>(1)</w:t>
            </w:r>
          </w:p>
        </w:tc>
        <w:tc>
          <w:tcPr>
            <w:tcW w:w="16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146</w:t>
            </w: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1,831</w:t>
            </w:r>
          </w:p>
        </w:tc>
        <w:tc>
          <w:tcPr>
            <w:tcW w:w="22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406</w:t>
            </w:r>
          </w:p>
        </w:tc>
      </w:tr>
      <w:tr>
        <w:trPr>
          <w:trHeight w:val="144"/>
        </w:trPr>
        <w:tc>
          <w:tcPr>
            <w:tcW w:w="6000" w:type="dxa"/>
            <w:vAlign w:val="bottom"/>
          </w:tcPr>
          <w:p>
            <w:pPr>
              <w:spacing w:after="0"/>
              <w:rPr>
                <w:sz w:val="20"/>
                <w:szCs w:val="20"/>
                <w:color w:val="auto"/>
              </w:rPr>
            </w:pPr>
            <w:r>
              <w:rPr>
                <w:rFonts w:ascii="Times New Roman" w:cs="Times New Roman" w:eastAsia="Times New Roman" w:hAnsi="Times New Roman"/>
                <w:sz w:val="12"/>
                <w:szCs w:val="12"/>
                <w:color w:val="auto"/>
              </w:rPr>
              <w:t>Mergers and acquisitions</w:t>
            </w:r>
          </w:p>
        </w:tc>
        <w:tc>
          <w:tcPr>
            <w:tcW w:w="160" w:type="dxa"/>
            <w:vAlign w:val="bottom"/>
          </w:tcPr>
          <w:p>
            <w:pPr>
              <w:spacing w:after="0"/>
              <w:rPr>
                <w:sz w:val="12"/>
                <w:szCs w:val="12"/>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2"/>
                <w:szCs w:val="12"/>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2"/>
                <w:szCs w:val="12"/>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2"/>
                <w:szCs w:val="12"/>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737</w:t>
            </w:r>
          </w:p>
        </w:tc>
      </w:tr>
      <w:tr>
        <w:trPr>
          <w:trHeight w:val="144"/>
        </w:trPr>
        <w:tc>
          <w:tcPr>
            <w:tcW w:w="6000" w:type="dxa"/>
            <w:vAlign w:val="bottom"/>
            <w:shd w:val="clear" w:color="auto" w:fill="CCEEFF"/>
          </w:tcPr>
          <w:p>
            <w:pPr>
              <w:spacing w:after="0" w:line="144" w:lineRule="exact"/>
              <w:rPr>
                <w:sz w:val="20"/>
                <w:szCs w:val="20"/>
                <w:color w:val="auto"/>
              </w:rPr>
            </w:pPr>
            <w:r>
              <w:rPr>
                <w:rFonts w:ascii="Times New Roman" w:cs="Times New Roman" w:eastAsia="Times New Roman" w:hAnsi="Times New Roman"/>
                <w:sz w:val="10"/>
                <w:szCs w:val="10"/>
                <w:color w:val="auto"/>
              </w:rPr>
              <w:t xml:space="preserve">Plant closure </w:t>
            </w:r>
            <w:r>
              <w:rPr>
                <w:rFonts w:ascii="Times New Roman" w:cs="Times New Roman" w:eastAsia="Times New Roman" w:hAnsi="Times New Roman"/>
                <w:sz w:val="16"/>
                <w:szCs w:val="16"/>
                <w:color w:val="auto"/>
                <w:vertAlign w:val="superscript"/>
              </w:rPr>
              <w:t>(2)</w:t>
            </w:r>
          </w:p>
        </w:tc>
        <w:tc>
          <w:tcPr>
            <w:tcW w:w="16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5,195</w:t>
            </w: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3,130</w:t>
            </w:r>
          </w:p>
        </w:tc>
        <w:tc>
          <w:tcPr>
            <w:tcW w:w="1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9,911</w:t>
            </w:r>
          </w:p>
        </w:tc>
        <w:tc>
          <w:tcPr>
            <w:tcW w:w="2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11,820</w:t>
            </w:r>
          </w:p>
        </w:tc>
      </w:tr>
      <w:tr>
        <w:trPr>
          <w:trHeight w:val="144"/>
        </w:trPr>
        <w:tc>
          <w:tcPr>
            <w:tcW w:w="6000" w:type="dxa"/>
            <w:vAlign w:val="bottom"/>
          </w:tcPr>
          <w:p>
            <w:pPr>
              <w:spacing w:after="0" w:line="144" w:lineRule="exact"/>
              <w:rPr>
                <w:sz w:val="20"/>
                <w:szCs w:val="20"/>
                <w:color w:val="auto"/>
              </w:rPr>
            </w:pPr>
            <w:r>
              <w:rPr>
                <w:rFonts w:ascii="Times New Roman" w:cs="Times New Roman" w:eastAsia="Times New Roman" w:hAnsi="Times New Roman"/>
                <w:sz w:val="10"/>
                <w:szCs w:val="10"/>
                <w:color w:val="auto"/>
              </w:rPr>
              <w:t xml:space="preserve">Transition service agreement </w:t>
            </w:r>
            <w:r>
              <w:rPr>
                <w:rFonts w:ascii="Times New Roman" w:cs="Times New Roman" w:eastAsia="Times New Roman" w:hAnsi="Times New Roman"/>
                <w:sz w:val="16"/>
                <w:szCs w:val="16"/>
                <w:color w:val="auto"/>
                <w:vertAlign w:val="superscript"/>
              </w:rPr>
              <w:t>(3)</w:t>
            </w:r>
          </w:p>
        </w:tc>
        <w:tc>
          <w:tcPr>
            <w:tcW w:w="160" w:type="dxa"/>
            <w:vAlign w:val="bottom"/>
          </w:tcPr>
          <w:p>
            <w:pPr>
              <w:spacing w:after="0"/>
              <w:rPr>
                <w:sz w:val="12"/>
                <w:szCs w:val="12"/>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(555)</w:t>
            </w:r>
          </w:p>
        </w:tc>
        <w:tc>
          <w:tcPr>
            <w:tcW w:w="200" w:type="dxa"/>
            <w:vAlign w:val="bottom"/>
          </w:tcPr>
          <w:p>
            <w:pPr>
              <w:spacing w:after="0"/>
              <w:rPr>
                <w:sz w:val="12"/>
                <w:szCs w:val="12"/>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(463)</w:t>
            </w:r>
          </w:p>
        </w:tc>
        <w:tc>
          <w:tcPr>
            <w:tcW w:w="160" w:type="dxa"/>
            <w:vAlign w:val="bottom"/>
          </w:tcPr>
          <w:p>
            <w:pPr>
              <w:spacing w:after="0"/>
              <w:rPr>
                <w:sz w:val="12"/>
                <w:szCs w:val="12"/>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(1,523)</w:t>
            </w:r>
          </w:p>
        </w:tc>
        <w:tc>
          <w:tcPr>
            <w:tcW w:w="220" w:type="dxa"/>
            <w:vAlign w:val="bottom"/>
          </w:tcPr>
          <w:p>
            <w:pPr>
              <w:spacing w:after="0"/>
              <w:rPr>
                <w:sz w:val="12"/>
                <w:szCs w:val="12"/>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(1,424)</w:t>
            </w:r>
          </w:p>
        </w:tc>
      </w:tr>
      <w:tr>
        <w:trPr>
          <w:trHeight w:val="144"/>
        </w:trPr>
        <w:tc>
          <w:tcPr>
            <w:tcW w:w="6000" w:type="dxa"/>
            <w:vAlign w:val="bottom"/>
            <w:shd w:val="clear" w:color="auto" w:fill="CCEEFF"/>
          </w:tcPr>
          <w:p>
            <w:pPr>
              <w:spacing w:after="0" w:line="144" w:lineRule="exact"/>
              <w:rPr>
                <w:sz w:val="20"/>
                <w:szCs w:val="20"/>
                <w:color w:val="auto"/>
              </w:rPr>
            </w:pPr>
            <w:r>
              <w:rPr>
                <w:rFonts w:ascii="Times New Roman" w:cs="Times New Roman" w:eastAsia="Times New Roman" w:hAnsi="Times New Roman"/>
                <w:sz w:val="10"/>
                <w:szCs w:val="10"/>
                <w:color w:val="auto"/>
              </w:rPr>
              <w:t>CEO retirement and transition</w:t>
            </w:r>
            <w:r>
              <w:rPr>
                <w:rFonts w:ascii="Times New Roman" w:cs="Times New Roman" w:eastAsia="Times New Roman" w:hAnsi="Times New Roman"/>
                <w:sz w:val="16"/>
                <w:szCs w:val="16"/>
                <w:color w:val="auto"/>
                <w:vertAlign w:val="superscript"/>
              </w:rPr>
              <w:t>(4)</w:t>
            </w:r>
          </w:p>
        </w:tc>
        <w:tc>
          <w:tcPr>
            <w:tcW w:w="16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870</w:t>
            </w: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870</w:t>
            </w:r>
          </w:p>
        </w:tc>
        <w:tc>
          <w:tcPr>
            <w:tcW w:w="2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r>
      <w:tr>
        <w:trPr>
          <w:trHeight w:val="144"/>
        </w:trPr>
        <w:tc>
          <w:tcPr>
            <w:tcW w:w="6000" w:type="dxa"/>
            <w:vAlign w:val="bottom"/>
          </w:tcPr>
          <w:p>
            <w:pPr>
              <w:spacing w:after="0"/>
              <w:rPr>
                <w:sz w:val="20"/>
                <w:szCs w:val="20"/>
                <w:color w:val="auto"/>
              </w:rPr>
            </w:pPr>
            <w:r>
              <w:rPr>
                <w:rFonts w:ascii="Times New Roman" w:cs="Times New Roman" w:eastAsia="Times New Roman" w:hAnsi="Times New Roman"/>
                <w:sz w:val="12"/>
                <w:szCs w:val="12"/>
                <w:color w:val="auto"/>
              </w:rPr>
              <w:t>Other</w:t>
            </w:r>
          </w:p>
        </w:tc>
        <w:tc>
          <w:tcPr>
            <w:tcW w:w="16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866</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619</w:t>
            </w:r>
          </w:p>
        </w:tc>
        <w:tc>
          <w:tcPr>
            <w:tcW w:w="160" w:type="dxa"/>
            <w:vAlign w:val="bottom"/>
          </w:tcPr>
          <w:p>
            <w:pPr>
              <w:spacing w:after="0"/>
              <w:rPr>
                <w:sz w:val="12"/>
                <w:szCs w:val="12"/>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1,826</w:t>
            </w:r>
          </w:p>
        </w:tc>
        <w:tc>
          <w:tcPr>
            <w:tcW w:w="220" w:type="dxa"/>
            <w:vAlign w:val="bottom"/>
          </w:tcPr>
          <w:p>
            <w:pPr>
              <w:spacing w:after="0"/>
              <w:rPr>
                <w:sz w:val="12"/>
                <w:szCs w:val="12"/>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1,926</w:t>
            </w:r>
          </w:p>
        </w:tc>
      </w:tr>
      <w:tr>
        <w:trPr>
          <w:trHeight w:val="182"/>
        </w:trPr>
        <w:tc>
          <w:tcPr>
            <w:tcW w:w="60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Total</w:t>
            </w:r>
          </w:p>
        </w:tc>
        <w:tc>
          <w:tcPr>
            <w:tcW w:w="160" w:type="dxa"/>
            <w:vAlign w:val="bottom"/>
            <w:tcBorders>
              <w:top w:val="single" w:sz="8" w:color="auto"/>
              <w:bottom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6,522</w:t>
            </w:r>
          </w:p>
        </w:tc>
        <w:tc>
          <w:tcPr>
            <w:tcW w:w="24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3,286</w:t>
            </w:r>
          </w:p>
        </w:tc>
        <w:tc>
          <w:tcPr>
            <w:tcW w:w="2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12,915</w:t>
            </w:r>
          </w:p>
        </w:tc>
        <w:tc>
          <w:tcPr>
            <w:tcW w:w="2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auto"/>
            </w:tcBorders>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13,465</w:t>
            </w:r>
          </w:p>
        </w:tc>
        <w:tc>
          <w:tcPr>
            <w:tcW w:w="120" w:type="dxa"/>
            <w:vAlign w:val="bottom"/>
            <w:tcBorders>
              <w:bottom w:val="single" w:sz="8" w:color="CCEEFF"/>
            </w:tcBorders>
            <w:shd w:val="clear" w:color="auto" w:fill="CCEEFF"/>
          </w:tcPr>
          <w:p>
            <w:pPr>
              <w:spacing w:after="0"/>
              <w:rPr>
                <w:sz w:val="15"/>
                <w:szCs w:val="15"/>
                <w:color w:val="auto"/>
              </w:rPr>
            </w:pPr>
          </w:p>
        </w:tc>
      </w:tr>
    </w:tbl>
    <w:p>
      <w:pPr>
        <w:spacing w:after="0" w:line="133" w:lineRule="exact"/>
        <w:rPr>
          <w:sz w:val="20"/>
          <w:szCs w:val="20"/>
          <w:color w:val="auto"/>
        </w:rPr>
      </w:pPr>
    </w:p>
    <w:p>
      <w:pPr>
        <w:ind w:left="168" w:hanging="168"/>
        <w:spacing w:after="0"/>
        <w:tabs>
          <w:tab w:leader="none" w:pos="168" w:val="left"/>
        </w:tabs>
        <w:numPr>
          <w:ilvl w:val="0"/>
          <w:numId w:val="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Legal expenses related to litigation that is outside the normal course of business.</w:t>
      </w:r>
    </w:p>
    <w:p>
      <w:pPr>
        <w:spacing w:after="0" w:line="150" w:lineRule="exact"/>
        <w:rPr>
          <w:rFonts w:ascii="Times New Roman" w:cs="Times New Roman" w:eastAsia="Times New Roman" w:hAnsi="Times New Roman"/>
          <w:sz w:val="12"/>
          <w:szCs w:val="12"/>
          <w:color w:val="auto"/>
        </w:rPr>
      </w:pPr>
    </w:p>
    <w:p>
      <w:pPr>
        <w:ind w:left="168" w:hanging="168"/>
        <w:spacing w:after="0"/>
        <w:tabs>
          <w:tab w:leader="none" w:pos="168" w:val="left"/>
        </w:tabs>
        <w:numPr>
          <w:ilvl w:val="0"/>
          <w:numId w:val="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Plant closure expense, related to the restructuring of our manufacturing footprint which was announced on January 5, 2024.</w:t>
      </w:r>
    </w:p>
    <w:p>
      <w:pPr>
        <w:spacing w:after="0" w:line="150" w:lineRule="exact"/>
        <w:rPr>
          <w:rFonts w:ascii="Times New Roman" w:cs="Times New Roman" w:eastAsia="Times New Roman" w:hAnsi="Times New Roman"/>
          <w:sz w:val="12"/>
          <w:szCs w:val="12"/>
          <w:color w:val="auto"/>
        </w:rPr>
      </w:pPr>
    </w:p>
    <w:p>
      <w:pPr>
        <w:ind w:left="168" w:hanging="168"/>
        <w:spacing w:after="0"/>
        <w:tabs>
          <w:tab w:leader="none" w:pos="168" w:val="left"/>
        </w:tabs>
        <w:numPr>
          <w:ilvl w:val="0"/>
          <w:numId w:val="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Transition services agreements that were entered into with Merit and Spectrum.</w:t>
      </w:r>
    </w:p>
    <w:p>
      <w:pPr>
        <w:spacing w:after="0" w:line="150" w:lineRule="exact"/>
        <w:rPr>
          <w:rFonts w:ascii="Times New Roman" w:cs="Times New Roman" w:eastAsia="Times New Roman" w:hAnsi="Times New Roman"/>
          <w:sz w:val="12"/>
          <w:szCs w:val="12"/>
          <w:color w:val="auto"/>
        </w:rPr>
      </w:pPr>
    </w:p>
    <w:p>
      <w:pPr>
        <w:ind w:left="168" w:hanging="168"/>
        <w:spacing w:after="0"/>
        <w:tabs>
          <w:tab w:leader="none" w:pos="168" w:val="left"/>
        </w:tabs>
        <w:numPr>
          <w:ilvl w:val="0"/>
          <w:numId w:val="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CEO retirement and transition expenses related to the CEO search and retention agreements with the Company's executive leadership team.</w:t>
      </w:r>
    </w:p>
    <w:p>
      <w:pPr>
        <w:spacing w:after="0" w:line="263"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0"/>
          <w:szCs w:val="10"/>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21590</wp:posOffset>
            </wp:positionV>
            <wp:extent cx="7178040" cy="114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8"/>
          </w:cols>
          <w:pgMar w:left="292" w:top="125" w:right="299" w:bottom="1440" w:gutter="0" w:footer="0" w:header="0"/>
        </w:sectPr>
      </w:pPr>
    </w:p>
    <w:bookmarkStart w:id="16" w:name="page17"/>
    <w:bookmarkEnd w:id="16"/>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ANGIODYNAMICS, INC. AND SUBSIDIARIES</w:t>
      </w:r>
    </w:p>
    <w:p>
      <w:pPr>
        <w:spacing w:after="0" w:line="2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NET SALES BY PRODUCT CATEGORY AND BY GEOGRAPHY</w:t>
      </w:r>
    </w:p>
    <w:p>
      <w:pPr>
        <w:spacing w:after="0" w:line="6"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(in thousands)</w:t>
      </w:r>
    </w:p>
    <w:p>
      <w:pPr>
        <w:spacing w:after="0" w:line="139" w:lineRule="exact"/>
        <w:rPr>
          <w:sz w:val="20"/>
          <w:szCs w:val="20"/>
          <w:color w:val="auto"/>
        </w:rPr>
      </w:pPr>
    </w:p>
    <w:tbl>
      <w:tblPr>
        <w:tblLayout w:type="fixed"/>
        <w:tblInd w:w="8" w:type="dxa"/>
        <w:tblCellMar>
          <w:top w:w="0" w:type="dxa"/>
          <w:left w:w="0" w:type="dxa"/>
          <w:bottom w:w="0" w:type="dxa"/>
          <w:right w:w="0" w:type="dxa"/>
        </w:tblCellMar>
      </w:tblPr>
      <w:tr>
        <w:trPr>
          <w:trHeight w:val="155"/>
        </w:trPr>
        <w:tc>
          <w:tcPr>
            <w:tcW w:w="23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200" w:type="dxa"/>
            <w:vAlign w:val="bottom"/>
            <w:tcBorders>
              <w:bottom w:val="single" w:sz="8" w:color="auto"/>
            </w:tcBorders>
            <w:gridSpan w:val="5"/>
          </w:tcPr>
          <w:p>
            <w:pPr>
              <w:ind w:left="400"/>
              <w:spacing w:after="0"/>
              <w:rPr>
                <w:sz w:val="20"/>
                <w:szCs w:val="20"/>
                <w:color w:val="auto"/>
              </w:rPr>
            </w:pPr>
            <w:r>
              <w:rPr>
                <w:rFonts w:ascii="Times New Roman" w:cs="Times New Roman" w:eastAsia="Times New Roman" w:hAnsi="Times New Roman"/>
                <w:sz w:val="12"/>
                <w:szCs w:val="12"/>
                <w:color w:val="auto"/>
              </w:rPr>
              <w:t>Three Months Ended</w:t>
            </w:r>
          </w:p>
        </w:tc>
        <w:tc>
          <w:tcPr>
            <w:tcW w:w="1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2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80" w:type="dxa"/>
            <w:vAlign w:val="bottom"/>
            <w:gridSpan w:val="2"/>
          </w:tcPr>
          <w:p>
            <w:pPr>
              <w:jc w:val="center"/>
              <w:ind w:right="300"/>
              <w:spacing w:after="0" w:line="124" w:lineRule="exact"/>
              <w:rPr>
                <w:sz w:val="20"/>
                <w:szCs w:val="20"/>
                <w:color w:val="auto"/>
              </w:rPr>
            </w:pPr>
            <w:r>
              <w:rPr>
                <w:rFonts w:ascii="Times New Roman" w:cs="Times New Roman" w:eastAsia="Times New Roman" w:hAnsi="Times New Roman"/>
                <w:sz w:val="12"/>
                <w:szCs w:val="12"/>
                <w:color w:val="auto"/>
                <w:w w:val="97"/>
              </w:rPr>
              <w:t>Pro Forma</w:t>
            </w: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60" w:type="dxa"/>
            <w:vAlign w:val="bottom"/>
            <w:gridSpan w:val="2"/>
          </w:tcPr>
          <w:p>
            <w:pPr>
              <w:jc w:val="center"/>
              <w:ind w:right="300"/>
              <w:spacing w:after="0" w:line="124" w:lineRule="exact"/>
              <w:rPr>
                <w:sz w:val="20"/>
                <w:szCs w:val="20"/>
                <w:color w:val="auto"/>
              </w:rPr>
            </w:pPr>
            <w:r>
              <w:rPr>
                <w:rFonts w:ascii="Times New Roman" w:cs="Times New Roman" w:eastAsia="Times New Roman" w:hAnsi="Times New Roman"/>
                <w:sz w:val="12"/>
                <w:szCs w:val="12"/>
                <w:color w:val="auto"/>
              </w:rPr>
              <w:t>Pro Forma</w:t>
            </w: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2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gridSpan w:val="2"/>
          </w:tcPr>
          <w:p>
            <w:pPr>
              <w:jc w:val="center"/>
              <w:ind w:right="280"/>
              <w:spacing w:after="0" w:line="151" w:lineRule="exact"/>
              <w:rPr>
                <w:sz w:val="20"/>
                <w:szCs w:val="20"/>
                <w:color w:val="auto"/>
              </w:rPr>
            </w:pPr>
            <w:r>
              <w:rPr>
                <w:rFonts w:ascii="Times New Roman" w:cs="Times New Roman" w:eastAsia="Times New Roman" w:hAnsi="Times New Roman"/>
                <w:sz w:val="11"/>
                <w:szCs w:val="11"/>
                <w:color w:val="auto"/>
              </w:rPr>
              <w:t xml:space="preserve">Adjustments </w:t>
            </w:r>
            <w:r>
              <w:rPr>
                <w:rFonts w:ascii="Times New Roman" w:cs="Times New Roman" w:eastAsia="Times New Roman" w:hAnsi="Times New Roman"/>
                <w:sz w:val="17"/>
                <w:szCs w:val="17"/>
                <w:color w:val="auto"/>
                <w:vertAlign w:val="superscript"/>
              </w:rPr>
              <w:t>(2)</w:t>
            </w:r>
          </w:p>
        </w:tc>
        <w:tc>
          <w:tcPr>
            <w:tcW w:w="100" w:type="dxa"/>
            <w:vAlign w:val="bottom"/>
          </w:tcPr>
          <w:p>
            <w:pPr>
              <w:spacing w:after="0"/>
              <w:rPr>
                <w:sz w:val="13"/>
                <w:szCs w:val="13"/>
                <w:color w:val="auto"/>
              </w:rPr>
            </w:pPr>
          </w:p>
        </w:tc>
        <w:tc>
          <w:tcPr>
            <w:tcW w:w="1040" w:type="dxa"/>
            <w:vAlign w:val="bottom"/>
            <w:gridSpan w:val="2"/>
          </w:tcPr>
          <w:p>
            <w:pPr>
              <w:jc w:val="center"/>
              <w:ind w:right="320"/>
              <w:spacing w:after="0"/>
              <w:rPr>
                <w:sz w:val="20"/>
                <w:szCs w:val="20"/>
                <w:color w:val="auto"/>
              </w:rPr>
            </w:pPr>
            <w:r>
              <w:rPr>
                <w:rFonts w:ascii="Times New Roman" w:cs="Times New Roman" w:eastAsia="Times New Roman" w:hAnsi="Times New Roman"/>
                <w:sz w:val="12"/>
                <w:szCs w:val="12"/>
                <w:color w:val="auto"/>
              </w:rPr>
              <w:t>Pro Forma</w:t>
            </w:r>
          </w:p>
        </w:tc>
        <w:tc>
          <w:tcPr>
            <w:tcW w:w="80" w:type="dxa"/>
            <w:vAlign w:val="bottom"/>
          </w:tcPr>
          <w:p>
            <w:pPr>
              <w:spacing w:after="0"/>
              <w:rPr>
                <w:sz w:val="13"/>
                <w:szCs w:val="13"/>
                <w:color w:val="auto"/>
              </w:rPr>
            </w:pPr>
          </w:p>
        </w:tc>
        <w:tc>
          <w:tcPr>
            <w:tcW w:w="1060" w:type="dxa"/>
            <w:vAlign w:val="bottom"/>
            <w:gridSpan w:val="2"/>
          </w:tcPr>
          <w:p>
            <w:pPr>
              <w:jc w:val="center"/>
              <w:ind w:right="300"/>
              <w:spacing w:after="0" w:line="151" w:lineRule="exact"/>
              <w:rPr>
                <w:sz w:val="20"/>
                <w:szCs w:val="20"/>
                <w:color w:val="auto"/>
              </w:rPr>
            </w:pPr>
            <w:r>
              <w:rPr>
                <w:rFonts w:ascii="Times New Roman" w:cs="Times New Roman" w:eastAsia="Times New Roman" w:hAnsi="Times New Roman"/>
                <w:sz w:val="11"/>
                <w:szCs w:val="11"/>
                <w:color w:val="auto"/>
              </w:rPr>
              <w:t xml:space="preserve">As Reported </w:t>
            </w:r>
            <w:r>
              <w:rPr>
                <w:rFonts w:ascii="Times New Roman" w:cs="Times New Roman" w:eastAsia="Times New Roman" w:hAnsi="Times New Roman"/>
                <w:sz w:val="17"/>
                <w:szCs w:val="17"/>
                <w:color w:val="auto"/>
                <w:vertAlign w:val="superscript"/>
              </w:rPr>
              <w:t>(1)</w:t>
            </w:r>
          </w:p>
        </w:tc>
        <w:tc>
          <w:tcPr>
            <w:tcW w:w="80" w:type="dxa"/>
            <w:vAlign w:val="bottom"/>
          </w:tcPr>
          <w:p>
            <w:pPr>
              <w:spacing w:after="0"/>
              <w:rPr>
                <w:sz w:val="13"/>
                <w:szCs w:val="13"/>
                <w:color w:val="auto"/>
              </w:rPr>
            </w:pPr>
          </w:p>
        </w:tc>
        <w:tc>
          <w:tcPr>
            <w:tcW w:w="1060" w:type="dxa"/>
            <w:vAlign w:val="bottom"/>
            <w:gridSpan w:val="2"/>
          </w:tcPr>
          <w:p>
            <w:pPr>
              <w:jc w:val="center"/>
              <w:ind w:right="300"/>
              <w:spacing w:after="0" w:line="151" w:lineRule="exact"/>
              <w:rPr>
                <w:sz w:val="20"/>
                <w:szCs w:val="20"/>
                <w:color w:val="auto"/>
              </w:rPr>
            </w:pPr>
            <w:r>
              <w:rPr>
                <w:rFonts w:ascii="Times New Roman" w:cs="Times New Roman" w:eastAsia="Times New Roman" w:hAnsi="Times New Roman"/>
                <w:sz w:val="11"/>
                <w:szCs w:val="11"/>
                <w:color w:val="auto"/>
              </w:rPr>
              <w:t xml:space="preserve">Adjustments </w:t>
            </w:r>
            <w:r>
              <w:rPr>
                <w:rFonts w:ascii="Times New Roman" w:cs="Times New Roman" w:eastAsia="Times New Roman" w:hAnsi="Times New Roman"/>
                <w:sz w:val="17"/>
                <w:szCs w:val="17"/>
                <w:color w:val="auto"/>
                <w:vertAlign w:val="superscript"/>
              </w:rPr>
              <w:t>(2)</w:t>
            </w:r>
          </w:p>
        </w:tc>
        <w:tc>
          <w:tcPr>
            <w:tcW w:w="100" w:type="dxa"/>
            <w:vAlign w:val="bottom"/>
          </w:tcPr>
          <w:p>
            <w:pPr>
              <w:spacing w:after="0"/>
              <w:rPr>
                <w:sz w:val="13"/>
                <w:szCs w:val="13"/>
                <w:color w:val="auto"/>
              </w:rPr>
            </w:pPr>
          </w:p>
        </w:tc>
        <w:tc>
          <w:tcPr>
            <w:tcW w:w="1000" w:type="dxa"/>
            <w:vAlign w:val="bottom"/>
            <w:gridSpan w:val="2"/>
          </w:tcPr>
          <w:p>
            <w:pPr>
              <w:jc w:val="center"/>
              <w:ind w:right="300"/>
              <w:spacing w:after="0"/>
              <w:rPr>
                <w:sz w:val="20"/>
                <w:szCs w:val="20"/>
                <w:color w:val="auto"/>
              </w:rPr>
            </w:pPr>
            <w:r>
              <w:rPr>
                <w:rFonts w:ascii="Times New Roman" w:cs="Times New Roman" w:eastAsia="Times New Roman" w:hAnsi="Times New Roman"/>
                <w:sz w:val="12"/>
                <w:szCs w:val="12"/>
                <w:color w:val="auto"/>
                <w:w w:val="97"/>
              </w:rPr>
              <w:t>Pro Forma</w:t>
            </w:r>
          </w:p>
        </w:tc>
        <w:tc>
          <w:tcPr>
            <w:tcW w:w="1120" w:type="dxa"/>
            <w:vAlign w:val="bottom"/>
            <w:gridSpan w:val="2"/>
          </w:tcPr>
          <w:p>
            <w:pPr>
              <w:jc w:val="right"/>
              <w:ind w:right="500"/>
              <w:spacing w:after="0"/>
              <w:rPr>
                <w:sz w:val="20"/>
                <w:szCs w:val="20"/>
                <w:color w:val="auto"/>
              </w:rPr>
            </w:pPr>
            <w:r>
              <w:rPr>
                <w:rFonts w:ascii="Times New Roman" w:cs="Times New Roman" w:eastAsia="Times New Roman" w:hAnsi="Times New Roman"/>
                <w:sz w:val="12"/>
                <w:szCs w:val="12"/>
                <w:color w:val="auto"/>
              </w:rPr>
              <w:t>Actual</w:t>
            </w:r>
          </w:p>
        </w:tc>
        <w:tc>
          <w:tcPr>
            <w:tcW w:w="1000" w:type="dxa"/>
            <w:vAlign w:val="bottom"/>
            <w:gridSpan w:val="2"/>
          </w:tcPr>
          <w:p>
            <w:pPr>
              <w:jc w:val="right"/>
              <w:ind w:right="300"/>
              <w:spacing w:after="0"/>
              <w:rPr>
                <w:sz w:val="20"/>
                <w:szCs w:val="20"/>
                <w:color w:val="auto"/>
              </w:rPr>
            </w:pPr>
            <w:r>
              <w:rPr>
                <w:rFonts w:ascii="Times New Roman" w:cs="Times New Roman" w:eastAsia="Times New Roman" w:hAnsi="Times New Roman"/>
                <w:sz w:val="12"/>
                <w:szCs w:val="12"/>
                <w:color w:val="auto"/>
              </w:rPr>
              <w:t>Pro Forma</w:t>
            </w:r>
          </w:p>
        </w:tc>
        <w:tc>
          <w:tcPr>
            <w:tcW w:w="0" w:type="dxa"/>
            <w:vAlign w:val="bottom"/>
          </w:tcPr>
          <w:p>
            <w:pPr>
              <w:spacing w:after="0"/>
              <w:rPr>
                <w:sz w:val="1"/>
                <w:szCs w:val="1"/>
                <w:color w:val="auto"/>
              </w:rPr>
            </w:pPr>
          </w:p>
        </w:tc>
      </w:tr>
      <w:tr>
        <w:trPr>
          <w:trHeight w:val="155"/>
        </w:trPr>
        <w:tc>
          <w:tcPr>
            <w:tcW w:w="2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gridSpan w:val="2"/>
          </w:tcPr>
          <w:p>
            <w:pPr>
              <w:ind w:left="40"/>
              <w:spacing w:after="0"/>
              <w:rPr>
                <w:sz w:val="20"/>
                <w:szCs w:val="20"/>
                <w:color w:val="auto"/>
              </w:rPr>
            </w:pPr>
            <w:r>
              <w:rPr>
                <w:rFonts w:ascii="Times New Roman" w:cs="Times New Roman" w:eastAsia="Times New Roman" w:hAnsi="Times New Roman"/>
                <w:sz w:val="12"/>
                <w:szCs w:val="12"/>
                <w:color w:val="auto"/>
              </w:rPr>
              <w:t>Feb 28, 2026</w:t>
            </w:r>
          </w:p>
        </w:tc>
        <w:tc>
          <w:tcPr>
            <w:tcW w:w="60" w:type="dxa"/>
            <w:vAlign w:val="bottom"/>
          </w:tcPr>
          <w:p>
            <w:pPr>
              <w:spacing w:after="0"/>
              <w:rPr>
                <w:sz w:val="13"/>
                <w:szCs w:val="13"/>
                <w:color w:val="auto"/>
              </w:rPr>
            </w:pPr>
          </w:p>
        </w:tc>
        <w:tc>
          <w:tcPr>
            <w:tcW w:w="1080" w:type="dxa"/>
            <w:vAlign w:val="bottom"/>
            <w:gridSpan w:val="2"/>
          </w:tcPr>
          <w:p>
            <w:pPr>
              <w:jc w:val="center"/>
              <w:ind w:right="300"/>
              <w:spacing w:after="0"/>
              <w:rPr>
                <w:sz w:val="20"/>
                <w:szCs w:val="20"/>
                <w:color w:val="auto"/>
              </w:rPr>
            </w:pPr>
            <w:r>
              <w:rPr>
                <w:rFonts w:ascii="Times New Roman" w:cs="Times New Roman" w:eastAsia="Times New Roman" w:hAnsi="Times New Roman"/>
                <w:sz w:val="12"/>
                <w:szCs w:val="12"/>
                <w:color w:val="auto"/>
                <w:w w:val="98"/>
              </w:rPr>
              <w:t>Feb 28, 2026</w:t>
            </w:r>
          </w:p>
        </w:tc>
        <w:tc>
          <w:tcPr>
            <w:tcW w:w="100" w:type="dxa"/>
            <w:vAlign w:val="bottom"/>
          </w:tcPr>
          <w:p>
            <w:pPr>
              <w:spacing w:after="0"/>
              <w:rPr>
                <w:sz w:val="13"/>
                <w:szCs w:val="13"/>
                <w:color w:val="auto"/>
              </w:rPr>
            </w:pPr>
          </w:p>
        </w:tc>
        <w:tc>
          <w:tcPr>
            <w:tcW w:w="1040" w:type="dxa"/>
            <w:vAlign w:val="bottom"/>
            <w:gridSpan w:val="2"/>
          </w:tcPr>
          <w:p>
            <w:pPr>
              <w:jc w:val="center"/>
              <w:ind w:right="320"/>
              <w:spacing w:after="0"/>
              <w:rPr>
                <w:sz w:val="20"/>
                <w:szCs w:val="20"/>
                <w:color w:val="auto"/>
              </w:rPr>
            </w:pPr>
            <w:r>
              <w:rPr>
                <w:rFonts w:ascii="Times New Roman" w:cs="Times New Roman" w:eastAsia="Times New Roman" w:hAnsi="Times New Roman"/>
                <w:sz w:val="12"/>
                <w:szCs w:val="12"/>
                <w:color w:val="auto"/>
              </w:rPr>
              <w:t>Feb 28, 2026</w:t>
            </w:r>
          </w:p>
        </w:tc>
        <w:tc>
          <w:tcPr>
            <w:tcW w:w="80" w:type="dxa"/>
            <w:vAlign w:val="bottom"/>
          </w:tcPr>
          <w:p>
            <w:pPr>
              <w:spacing w:after="0"/>
              <w:rPr>
                <w:sz w:val="13"/>
                <w:szCs w:val="13"/>
                <w:color w:val="auto"/>
              </w:rPr>
            </w:pPr>
          </w:p>
        </w:tc>
        <w:tc>
          <w:tcPr>
            <w:tcW w:w="1060" w:type="dxa"/>
            <w:vAlign w:val="bottom"/>
            <w:gridSpan w:val="2"/>
          </w:tcPr>
          <w:p>
            <w:pPr>
              <w:jc w:val="center"/>
              <w:ind w:right="300"/>
              <w:spacing w:after="0"/>
              <w:rPr>
                <w:sz w:val="20"/>
                <w:szCs w:val="20"/>
                <w:color w:val="auto"/>
              </w:rPr>
            </w:pPr>
            <w:r>
              <w:rPr>
                <w:rFonts w:ascii="Times New Roman" w:cs="Times New Roman" w:eastAsia="Times New Roman" w:hAnsi="Times New Roman"/>
                <w:sz w:val="12"/>
                <w:szCs w:val="12"/>
                <w:color w:val="auto"/>
              </w:rPr>
              <w:t>Feb 28, 2025</w:t>
            </w:r>
          </w:p>
        </w:tc>
        <w:tc>
          <w:tcPr>
            <w:tcW w:w="80" w:type="dxa"/>
            <w:vAlign w:val="bottom"/>
          </w:tcPr>
          <w:p>
            <w:pPr>
              <w:spacing w:after="0"/>
              <w:rPr>
                <w:sz w:val="13"/>
                <w:szCs w:val="13"/>
                <w:color w:val="auto"/>
              </w:rPr>
            </w:pPr>
          </w:p>
        </w:tc>
        <w:tc>
          <w:tcPr>
            <w:tcW w:w="1060" w:type="dxa"/>
            <w:vAlign w:val="bottom"/>
            <w:gridSpan w:val="2"/>
          </w:tcPr>
          <w:p>
            <w:pPr>
              <w:jc w:val="center"/>
              <w:ind w:right="300"/>
              <w:spacing w:after="0"/>
              <w:rPr>
                <w:sz w:val="20"/>
                <w:szCs w:val="20"/>
                <w:color w:val="auto"/>
              </w:rPr>
            </w:pPr>
            <w:r>
              <w:rPr>
                <w:rFonts w:ascii="Times New Roman" w:cs="Times New Roman" w:eastAsia="Times New Roman" w:hAnsi="Times New Roman"/>
                <w:sz w:val="12"/>
                <w:szCs w:val="12"/>
                <w:color w:val="auto"/>
              </w:rPr>
              <w:t>Feb 28, 2025</w:t>
            </w:r>
          </w:p>
        </w:tc>
        <w:tc>
          <w:tcPr>
            <w:tcW w:w="100" w:type="dxa"/>
            <w:vAlign w:val="bottom"/>
          </w:tcPr>
          <w:p>
            <w:pPr>
              <w:spacing w:after="0"/>
              <w:rPr>
                <w:sz w:val="13"/>
                <w:szCs w:val="13"/>
                <w:color w:val="auto"/>
              </w:rPr>
            </w:pPr>
          </w:p>
        </w:tc>
        <w:tc>
          <w:tcPr>
            <w:tcW w:w="1000" w:type="dxa"/>
            <w:vAlign w:val="bottom"/>
            <w:gridSpan w:val="2"/>
          </w:tcPr>
          <w:p>
            <w:pPr>
              <w:jc w:val="center"/>
              <w:ind w:right="300"/>
              <w:spacing w:after="0"/>
              <w:rPr>
                <w:sz w:val="20"/>
                <w:szCs w:val="20"/>
                <w:color w:val="auto"/>
              </w:rPr>
            </w:pPr>
            <w:r>
              <w:rPr>
                <w:rFonts w:ascii="Times New Roman" w:cs="Times New Roman" w:eastAsia="Times New Roman" w:hAnsi="Times New Roman"/>
                <w:sz w:val="12"/>
                <w:szCs w:val="12"/>
                <w:color w:val="auto"/>
                <w:w w:val="98"/>
              </w:rPr>
              <w:t>Feb 28, 2025</w:t>
            </w:r>
          </w:p>
        </w:tc>
        <w:tc>
          <w:tcPr>
            <w:tcW w:w="1120" w:type="dxa"/>
            <w:vAlign w:val="bottom"/>
            <w:gridSpan w:val="2"/>
          </w:tcPr>
          <w:p>
            <w:pPr>
              <w:jc w:val="right"/>
              <w:ind w:right="420"/>
              <w:spacing w:after="0"/>
              <w:rPr>
                <w:sz w:val="20"/>
                <w:szCs w:val="20"/>
                <w:color w:val="auto"/>
              </w:rPr>
            </w:pPr>
            <w:r>
              <w:rPr>
                <w:rFonts w:ascii="Times New Roman" w:cs="Times New Roman" w:eastAsia="Times New Roman" w:hAnsi="Times New Roman"/>
                <w:sz w:val="12"/>
                <w:szCs w:val="12"/>
                <w:color w:val="auto"/>
              </w:rPr>
              <w:t>% Growth</w:t>
            </w:r>
          </w:p>
        </w:tc>
        <w:tc>
          <w:tcPr>
            <w:tcW w:w="1000" w:type="dxa"/>
            <w:vAlign w:val="bottom"/>
            <w:gridSpan w:val="2"/>
          </w:tcPr>
          <w:p>
            <w:pPr>
              <w:jc w:val="right"/>
              <w:ind w:right="300"/>
              <w:spacing w:after="0"/>
              <w:rPr>
                <w:sz w:val="20"/>
                <w:szCs w:val="20"/>
                <w:color w:val="auto"/>
              </w:rPr>
            </w:pPr>
            <w:r>
              <w:rPr>
                <w:rFonts w:ascii="Times New Roman" w:cs="Times New Roman" w:eastAsia="Times New Roman" w:hAnsi="Times New Roman"/>
                <w:sz w:val="12"/>
                <w:szCs w:val="12"/>
                <w:color w:val="auto"/>
              </w:rPr>
              <w:t>% Growth</w:t>
            </w:r>
          </w:p>
        </w:tc>
        <w:tc>
          <w:tcPr>
            <w:tcW w:w="0" w:type="dxa"/>
            <w:vAlign w:val="bottom"/>
          </w:tcPr>
          <w:p>
            <w:pPr>
              <w:spacing w:after="0"/>
              <w:rPr>
                <w:sz w:val="1"/>
                <w:szCs w:val="1"/>
                <w:color w:val="auto"/>
              </w:rPr>
            </w:pPr>
          </w:p>
        </w:tc>
      </w:tr>
      <w:tr>
        <w:trPr>
          <w:trHeight w:val="153"/>
        </w:trPr>
        <w:tc>
          <w:tcPr>
            <w:tcW w:w="2380" w:type="dxa"/>
            <w:vAlign w:val="bottom"/>
            <w:vMerge w:val="restart"/>
          </w:tcPr>
          <w:p>
            <w:pPr>
              <w:spacing w:after="0"/>
              <w:rPr>
                <w:sz w:val="20"/>
                <w:szCs w:val="20"/>
                <w:color w:val="auto"/>
              </w:rPr>
            </w:pPr>
            <w:r>
              <w:rPr>
                <w:rFonts w:ascii="Times New Roman" w:cs="Times New Roman" w:eastAsia="Times New Roman" w:hAnsi="Times New Roman"/>
                <w:sz w:val="12"/>
                <w:szCs w:val="12"/>
                <w:color w:val="auto"/>
              </w:rPr>
              <w:t>Net Sales</w:t>
            </w:r>
          </w:p>
        </w:tc>
        <w:tc>
          <w:tcPr>
            <w:tcW w:w="10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(unaudited)</w:t>
            </w:r>
          </w:p>
        </w:tc>
        <w:tc>
          <w:tcPr>
            <w:tcW w:w="24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jc w:val="center"/>
              <w:ind w:right="21"/>
              <w:spacing w:after="0"/>
              <w:rPr>
                <w:sz w:val="20"/>
                <w:szCs w:val="20"/>
                <w:color w:val="auto"/>
              </w:rPr>
            </w:pPr>
            <w:r>
              <w:rPr>
                <w:rFonts w:ascii="Times New Roman" w:cs="Times New Roman" w:eastAsia="Times New Roman" w:hAnsi="Times New Roman"/>
                <w:sz w:val="12"/>
                <w:szCs w:val="12"/>
                <w:color w:val="auto"/>
              </w:rPr>
              <w:t>(unaudited)</w:t>
            </w:r>
          </w:p>
        </w:tc>
        <w:tc>
          <w:tcPr>
            <w:tcW w:w="2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3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3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Med Tech</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37,282</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37,282</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31,341</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31,341</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19.0%</w:t>
            </w: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19.0%</w:t>
            </w:r>
          </w:p>
        </w:tc>
        <w:tc>
          <w:tcPr>
            <w:tcW w:w="0" w:type="dxa"/>
            <w:vAlign w:val="bottom"/>
          </w:tcPr>
          <w:p>
            <w:pPr>
              <w:spacing w:after="0"/>
              <w:rPr>
                <w:sz w:val="1"/>
                <w:szCs w:val="1"/>
                <w:color w:val="auto"/>
              </w:rPr>
            </w:pPr>
          </w:p>
        </w:tc>
      </w:tr>
      <w:tr>
        <w:trPr>
          <w:trHeight w:val="144"/>
        </w:trPr>
        <w:tc>
          <w:tcPr>
            <w:tcW w:w="238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Med Device</w:t>
            </w:r>
          </w:p>
        </w:tc>
        <w:tc>
          <w:tcPr>
            <w:tcW w:w="1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41,141</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(2)</w:t>
            </w:r>
          </w:p>
        </w:tc>
        <w:tc>
          <w:tcPr>
            <w:tcW w:w="100" w:type="dxa"/>
            <w:vAlign w:val="bottom"/>
          </w:tcPr>
          <w:p>
            <w:pPr>
              <w:spacing w:after="0"/>
              <w:rPr>
                <w:sz w:val="12"/>
                <w:szCs w:val="12"/>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41,139</w:t>
            </w:r>
          </w:p>
        </w:tc>
        <w:tc>
          <w:tcPr>
            <w:tcW w:w="80" w:type="dxa"/>
            <w:vAlign w:val="bottom"/>
          </w:tcPr>
          <w:p>
            <w:pPr>
              <w:spacing w:after="0"/>
              <w:rPr>
                <w:sz w:val="12"/>
                <w:szCs w:val="12"/>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40,663</w:t>
            </w:r>
          </w:p>
        </w:tc>
        <w:tc>
          <w:tcPr>
            <w:tcW w:w="80" w:type="dxa"/>
            <w:vAlign w:val="bottom"/>
          </w:tcPr>
          <w:p>
            <w:pPr>
              <w:spacing w:after="0"/>
              <w:rPr>
                <w:sz w:val="12"/>
                <w:szCs w:val="12"/>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9</w:t>
            </w:r>
          </w:p>
        </w:tc>
        <w:tc>
          <w:tcPr>
            <w:tcW w:w="100" w:type="dxa"/>
            <w:vAlign w:val="bottom"/>
          </w:tcPr>
          <w:p>
            <w:pPr>
              <w:spacing w:after="0"/>
              <w:rPr>
                <w:sz w:val="12"/>
                <w:szCs w:val="12"/>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40,672</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1.2%</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1.1%</w:t>
            </w:r>
          </w:p>
        </w:tc>
        <w:tc>
          <w:tcPr>
            <w:tcW w:w="0" w:type="dxa"/>
            <w:vAlign w:val="bottom"/>
          </w:tcPr>
          <w:p>
            <w:pPr>
              <w:spacing w:after="0"/>
              <w:rPr>
                <w:sz w:val="1"/>
                <w:szCs w:val="1"/>
                <w:color w:val="auto"/>
              </w:rPr>
            </w:pPr>
          </w:p>
        </w:tc>
      </w:tr>
      <w:tr>
        <w:trPr>
          <w:trHeight w:val="20"/>
        </w:trPr>
        <w:tc>
          <w:tcPr>
            <w:tcW w:w="2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38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78,423</w:t>
            </w:r>
          </w:p>
        </w:tc>
        <w:tc>
          <w:tcPr>
            <w:tcW w:w="240" w:type="dxa"/>
            <w:vAlign w:val="bottom"/>
            <w:shd w:val="clear" w:color="auto" w:fill="CCEEFF"/>
          </w:tcPr>
          <w:p>
            <w:pPr>
              <w:spacing w:after="0"/>
              <w:rPr>
                <w:sz w:val="15"/>
                <w:szCs w:val="15"/>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78,421</w:t>
            </w: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72,004</w:t>
            </w: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w:t>
            </w: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72,013</w:t>
            </w:r>
          </w:p>
        </w:tc>
        <w:tc>
          <w:tcPr>
            <w:tcW w:w="20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8.9%</w:t>
            </w: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8.9%</w:t>
            </w:r>
          </w:p>
        </w:tc>
        <w:tc>
          <w:tcPr>
            <w:tcW w:w="0" w:type="dxa"/>
            <w:vAlign w:val="bottom"/>
          </w:tcPr>
          <w:p>
            <w:pPr>
              <w:spacing w:after="0"/>
              <w:rPr>
                <w:sz w:val="1"/>
                <w:szCs w:val="1"/>
                <w:color w:val="auto"/>
              </w:rPr>
            </w:pPr>
          </w:p>
        </w:tc>
      </w:tr>
      <w:tr>
        <w:trPr>
          <w:trHeight w:val="120"/>
        </w:trPr>
        <w:tc>
          <w:tcPr>
            <w:tcW w:w="2380" w:type="dxa"/>
            <w:vAlign w:val="bottom"/>
            <w:tcBorders>
              <w:top w:val="single" w:sz="8" w:color="CCEEFF"/>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240" w:type="dxa"/>
            <w:vAlign w:val="bottom"/>
            <w:tcBorders>
              <w:top w:val="single" w:sz="8" w:color="CCEEFF"/>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240" w:type="dxa"/>
            <w:vAlign w:val="bottom"/>
            <w:tcBorders>
              <w:top w:val="single" w:sz="8" w:color="CCEEFF"/>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220" w:type="dxa"/>
            <w:vAlign w:val="bottom"/>
            <w:tcBorders>
              <w:top w:val="single" w:sz="8" w:color="CCEEFF"/>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220" w:type="dxa"/>
            <w:vAlign w:val="bottom"/>
            <w:tcBorders>
              <w:top w:val="single" w:sz="8" w:color="CCEEFF"/>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220" w:type="dxa"/>
            <w:vAlign w:val="bottom"/>
            <w:tcBorders>
              <w:top w:val="single" w:sz="8" w:color="CCEEFF"/>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200" w:type="dxa"/>
            <w:vAlign w:val="bottom"/>
            <w:tcBorders>
              <w:top w:val="single" w:sz="8" w:color="CCEEFF"/>
            </w:tcBorders>
          </w:tcPr>
          <w:p>
            <w:pPr>
              <w:spacing w:after="0"/>
              <w:rPr>
                <w:sz w:val="10"/>
                <w:szCs w:val="10"/>
                <w:color w:val="auto"/>
              </w:rPr>
            </w:pPr>
          </w:p>
        </w:tc>
        <w:tc>
          <w:tcPr>
            <w:tcW w:w="900" w:type="dxa"/>
            <w:vAlign w:val="bottom"/>
            <w:tcBorders>
              <w:top w:val="single" w:sz="8" w:color="CCEEFF"/>
            </w:tcBorders>
          </w:tcPr>
          <w:p>
            <w:pPr>
              <w:spacing w:after="0"/>
              <w:rPr>
                <w:sz w:val="10"/>
                <w:szCs w:val="10"/>
                <w:color w:val="auto"/>
              </w:rPr>
            </w:pPr>
          </w:p>
        </w:tc>
        <w:tc>
          <w:tcPr>
            <w:tcW w:w="220" w:type="dxa"/>
            <w:vAlign w:val="bottom"/>
            <w:tcBorders>
              <w:top w:val="single" w:sz="8" w:color="CCEEFF"/>
            </w:tcBorders>
          </w:tcPr>
          <w:p>
            <w:pPr>
              <w:spacing w:after="0"/>
              <w:rPr>
                <w:sz w:val="10"/>
                <w:szCs w:val="10"/>
                <w:color w:val="auto"/>
              </w:rPr>
            </w:pPr>
          </w:p>
        </w:tc>
        <w:tc>
          <w:tcPr>
            <w:tcW w:w="880" w:type="dxa"/>
            <w:vAlign w:val="bottom"/>
            <w:tcBorders>
              <w:top w:val="single" w:sz="8" w:color="CCEEFF"/>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Net Sales</w:t>
            </w: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38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United States</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67,278</w:t>
            </w:r>
          </w:p>
        </w:tc>
        <w:tc>
          <w:tcPr>
            <w:tcW w:w="24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(2)</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67,276</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61,340</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4</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61,344</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9.7%</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9.7%</w:t>
            </w:r>
          </w:p>
        </w:tc>
        <w:tc>
          <w:tcPr>
            <w:tcW w:w="0" w:type="dxa"/>
            <w:vAlign w:val="bottom"/>
          </w:tcPr>
          <w:p>
            <w:pPr>
              <w:spacing w:after="0"/>
              <w:rPr>
                <w:sz w:val="1"/>
                <w:szCs w:val="1"/>
                <w:color w:val="auto"/>
              </w:rPr>
            </w:pPr>
          </w:p>
        </w:tc>
      </w:tr>
      <w:tr>
        <w:trPr>
          <w:trHeight w:val="144"/>
        </w:trPr>
        <w:tc>
          <w:tcPr>
            <w:tcW w:w="23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International</w:t>
            </w: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11,145</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11,145</w:t>
            </w:r>
          </w:p>
        </w:tc>
        <w:tc>
          <w:tcPr>
            <w:tcW w:w="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10,664</w:t>
            </w:r>
          </w:p>
        </w:tc>
        <w:tc>
          <w:tcPr>
            <w:tcW w:w="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5</w:t>
            </w:r>
          </w:p>
        </w:tc>
        <w:tc>
          <w:tcPr>
            <w:tcW w:w="1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10,669</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4.5%</w:t>
            </w: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4.5%</w:t>
            </w:r>
          </w:p>
        </w:tc>
        <w:tc>
          <w:tcPr>
            <w:tcW w:w="0" w:type="dxa"/>
            <w:vAlign w:val="bottom"/>
          </w:tcPr>
          <w:p>
            <w:pPr>
              <w:spacing w:after="0"/>
              <w:rPr>
                <w:sz w:val="1"/>
                <w:szCs w:val="1"/>
                <w:color w:val="auto"/>
              </w:rPr>
            </w:pPr>
          </w:p>
        </w:tc>
      </w:tr>
      <w:tr>
        <w:trPr>
          <w:trHeight w:val="20"/>
        </w:trPr>
        <w:tc>
          <w:tcPr>
            <w:tcW w:w="23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9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38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78,423</w:t>
            </w:r>
          </w:p>
        </w:tc>
        <w:tc>
          <w:tcPr>
            <w:tcW w:w="24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(2)</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78,421</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72,004</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9</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72,013</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8.9%</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8.9%</w:t>
            </w:r>
          </w:p>
        </w:tc>
        <w:tc>
          <w:tcPr>
            <w:tcW w:w="0" w:type="dxa"/>
            <w:vAlign w:val="bottom"/>
          </w:tcPr>
          <w:p>
            <w:pPr>
              <w:spacing w:after="0"/>
              <w:rPr>
                <w:sz w:val="1"/>
                <w:szCs w:val="1"/>
                <w:color w:val="auto"/>
              </w:rPr>
            </w:pPr>
          </w:p>
        </w:tc>
      </w:tr>
      <w:tr>
        <w:trPr>
          <w:trHeight w:val="20"/>
        </w:trPr>
        <w:tc>
          <w:tcPr>
            <w:tcW w:w="2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3" w:lineRule="exact"/>
        <w:rPr>
          <w:sz w:val="20"/>
          <w:szCs w:val="20"/>
          <w:color w:val="auto"/>
        </w:rPr>
      </w:pPr>
    </w:p>
    <w:p>
      <w:pPr>
        <w:ind w:left="8" w:right="260" w:hanging="8"/>
        <w:spacing w:after="0" w:line="279" w:lineRule="auto"/>
        <w:tabs>
          <w:tab w:leader="none" w:pos="208" w:val="left"/>
        </w:tabs>
        <w:numPr>
          <w:ilvl w:val="0"/>
          <w:numId w:val="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Reflects the Company's US GAAP consolidated financial statements before pro forma adjustments related to the sale of the Dialysis and BioSentry Businesses on June 8, 2023, the sale of the PICCs and Midlines Businesses on February 15, 2024 and the discontinuation of the RadioFrequency Ablation and Syntrax products ("the Businesses") as of February 29, 2024, for the three months ended February 28, 2025.</w:t>
      </w:r>
    </w:p>
    <w:p>
      <w:pPr>
        <w:spacing w:after="0" w:line="111" w:lineRule="exact"/>
        <w:rPr>
          <w:rFonts w:ascii="Times New Roman" w:cs="Times New Roman" w:eastAsia="Times New Roman" w:hAnsi="Times New Roman"/>
          <w:sz w:val="12"/>
          <w:szCs w:val="12"/>
          <w:color w:val="auto"/>
        </w:rPr>
      </w:pPr>
    </w:p>
    <w:p>
      <w:pPr>
        <w:ind w:left="168" w:hanging="168"/>
        <w:spacing w:after="0"/>
        <w:tabs>
          <w:tab w:leader="none" w:pos="168" w:val="left"/>
        </w:tabs>
        <w:numPr>
          <w:ilvl w:val="0"/>
          <w:numId w:val="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Reflects the elimination of revenues and expenses representing the operating results from the sales and discontinuation of the Businesses.</w:t>
      </w:r>
    </w:p>
    <w:p>
      <w:pPr>
        <w:spacing w:after="0" w:line="146" w:lineRule="exact"/>
        <w:rPr>
          <w:sz w:val="20"/>
          <w:szCs w:val="20"/>
          <w:color w:val="auto"/>
        </w:rPr>
      </w:pPr>
    </w:p>
    <w:tbl>
      <w:tblPr>
        <w:tblLayout w:type="fixed"/>
        <w:tblInd w:w="8" w:type="dxa"/>
        <w:tblCellMar>
          <w:top w:w="0" w:type="dxa"/>
          <w:left w:w="0" w:type="dxa"/>
          <w:bottom w:w="0" w:type="dxa"/>
          <w:right w:w="0" w:type="dxa"/>
        </w:tblCellMar>
      </w:tblPr>
      <w:tr>
        <w:trPr>
          <w:trHeight w:val="159"/>
        </w:trPr>
        <w:tc>
          <w:tcPr>
            <w:tcW w:w="2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320" w:type="dxa"/>
            <w:vAlign w:val="bottom"/>
            <w:gridSpan w:val="8"/>
          </w:tcPr>
          <w:p>
            <w:pPr>
              <w:jc w:val="right"/>
              <w:ind w:right="20"/>
              <w:spacing w:after="0"/>
              <w:rPr>
                <w:sz w:val="20"/>
                <w:szCs w:val="20"/>
                <w:color w:val="auto"/>
              </w:rPr>
            </w:pPr>
            <w:r>
              <w:rPr>
                <w:rFonts w:ascii="Times New Roman" w:cs="Times New Roman" w:eastAsia="Times New Roman" w:hAnsi="Times New Roman"/>
                <w:sz w:val="12"/>
                <w:szCs w:val="12"/>
                <w:b w:val="1"/>
                <w:bCs w:val="1"/>
                <w:color w:val="auto"/>
              </w:rPr>
              <w:t>GROSS MARGIN BY PRODUCT CATEGORY</w:t>
            </w: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288"/>
        </w:trPr>
        <w:tc>
          <w:tcPr>
            <w:tcW w:w="2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40" w:type="dxa"/>
            <w:vAlign w:val="bottom"/>
            <w:gridSpan w:val="5"/>
          </w:tcPr>
          <w:p>
            <w:pPr>
              <w:jc w:val="right"/>
              <w:ind w:right="920"/>
              <w:spacing w:after="0"/>
              <w:rPr>
                <w:sz w:val="20"/>
                <w:szCs w:val="20"/>
                <w:color w:val="auto"/>
              </w:rPr>
            </w:pPr>
            <w:r>
              <w:rPr>
                <w:rFonts w:ascii="Times New Roman" w:cs="Times New Roman" w:eastAsia="Times New Roman" w:hAnsi="Times New Roman"/>
                <w:sz w:val="12"/>
                <w:szCs w:val="12"/>
                <w:color w:val="auto"/>
              </w:rPr>
              <w:t>(in thousands)</w:t>
            </w: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88"/>
        </w:trPr>
        <w:tc>
          <w:tcPr>
            <w:tcW w:w="23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gridSpan w:val="5"/>
          </w:tcPr>
          <w:p>
            <w:pPr>
              <w:ind w:left="400"/>
              <w:spacing w:after="0"/>
              <w:rPr>
                <w:sz w:val="20"/>
                <w:szCs w:val="20"/>
                <w:color w:val="auto"/>
              </w:rPr>
            </w:pPr>
            <w:r>
              <w:rPr>
                <w:rFonts w:ascii="Times New Roman" w:cs="Times New Roman" w:eastAsia="Times New Roman" w:hAnsi="Times New Roman"/>
                <w:sz w:val="12"/>
                <w:szCs w:val="12"/>
                <w:color w:val="auto"/>
              </w:rPr>
              <w:t>Three Months Ended</w:t>
            </w:r>
          </w:p>
        </w:tc>
        <w:tc>
          <w:tcPr>
            <w:tcW w:w="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r>
      <w:tr>
        <w:trPr>
          <w:trHeight w:val="124"/>
        </w:trPr>
        <w:tc>
          <w:tcPr>
            <w:tcW w:w="2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80" w:type="dxa"/>
            <w:vAlign w:val="bottom"/>
            <w:gridSpan w:val="2"/>
          </w:tcPr>
          <w:p>
            <w:pPr>
              <w:jc w:val="center"/>
              <w:ind w:right="300"/>
              <w:spacing w:after="0" w:line="124" w:lineRule="exact"/>
              <w:rPr>
                <w:sz w:val="20"/>
                <w:szCs w:val="20"/>
                <w:color w:val="auto"/>
              </w:rPr>
            </w:pPr>
            <w:r>
              <w:rPr>
                <w:rFonts w:ascii="Times New Roman" w:cs="Times New Roman" w:eastAsia="Times New Roman" w:hAnsi="Times New Roman"/>
                <w:sz w:val="12"/>
                <w:szCs w:val="12"/>
                <w:color w:val="auto"/>
                <w:w w:val="97"/>
              </w:rPr>
              <w:t>Pro Forma</w:t>
            </w: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60" w:type="dxa"/>
            <w:vAlign w:val="bottom"/>
            <w:gridSpan w:val="2"/>
          </w:tcPr>
          <w:p>
            <w:pPr>
              <w:jc w:val="center"/>
              <w:ind w:right="280"/>
              <w:spacing w:after="0" w:line="124" w:lineRule="exact"/>
              <w:rPr>
                <w:sz w:val="20"/>
                <w:szCs w:val="20"/>
                <w:color w:val="auto"/>
              </w:rPr>
            </w:pPr>
            <w:r>
              <w:rPr>
                <w:rFonts w:ascii="Times New Roman" w:cs="Times New Roman" w:eastAsia="Times New Roman" w:hAnsi="Times New Roman"/>
                <w:sz w:val="12"/>
                <w:szCs w:val="12"/>
                <w:color w:val="auto"/>
                <w:w w:val="97"/>
              </w:rPr>
              <w:t>Pro Forma</w:t>
            </w: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40" w:type="dxa"/>
            <w:vAlign w:val="bottom"/>
          </w:tcPr>
          <w:p>
            <w:pPr>
              <w:spacing w:after="0"/>
              <w:rPr>
                <w:sz w:val="10"/>
                <w:szCs w:val="10"/>
                <w:color w:val="auto"/>
              </w:rPr>
            </w:pPr>
          </w:p>
        </w:tc>
      </w:tr>
      <w:tr>
        <w:trPr>
          <w:trHeight w:val="151"/>
        </w:trPr>
        <w:tc>
          <w:tcPr>
            <w:tcW w:w="2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gridSpan w:val="2"/>
          </w:tcPr>
          <w:p>
            <w:pPr>
              <w:jc w:val="center"/>
              <w:ind w:right="280"/>
              <w:spacing w:after="0" w:line="151" w:lineRule="exact"/>
              <w:rPr>
                <w:sz w:val="20"/>
                <w:szCs w:val="20"/>
                <w:color w:val="auto"/>
              </w:rPr>
            </w:pPr>
            <w:r>
              <w:rPr>
                <w:rFonts w:ascii="Times New Roman" w:cs="Times New Roman" w:eastAsia="Times New Roman" w:hAnsi="Times New Roman"/>
                <w:sz w:val="11"/>
                <w:szCs w:val="11"/>
                <w:color w:val="auto"/>
              </w:rPr>
              <w:t xml:space="preserve">Adjustments </w:t>
            </w:r>
            <w:r>
              <w:rPr>
                <w:rFonts w:ascii="Times New Roman" w:cs="Times New Roman" w:eastAsia="Times New Roman" w:hAnsi="Times New Roman"/>
                <w:sz w:val="17"/>
                <w:szCs w:val="17"/>
                <w:color w:val="auto"/>
                <w:vertAlign w:val="superscript"/>
              </w:rPr>
              <w:t>(2)</w:t>
            </w:r>
          </w:p>
        </w:tc>
        <w:tc>
          <w:tcPr>
            <w:tcW w:w="100" w:type="dxa"/>
            <w:vAlign w:val="bottom"/>
          </w:tcPr>
          <w:p>
            <w:pPr>
              <w:spacing w:after="0"/>
              <w:rPr>
                <w:sz w:val="13"/>
                <w:szCs w:val="13"/>
                <w:color w:val="auto"/>
              </w:rPr>
            </w:pPr>
          </w:p>
        </w:tc>
        <w:tc>
          <w:tcPr>
            <w:tcW w:w="1040" w:type="dxa"/>
            <w:vAlign w:val="bottom"/>
            <w:gridSpan w:val="2"/>
          </w:tcPr>
          <w:p>
            <w:pPr>
              <w:jc w:val="right"/>
              <w:ind w:right="420"/>
              <w:spacing w:after="0"/>
              <w:rPr>
                <w:sz w:val="20"/>
                <w:szCs w:val="20"/>
                <w:color w:val="auto"/>
              </w:rPr>
            </w:pPr>
            <w:r>
              <w:rPr>
                <w:rFonts w:ascii="Times New Roman" w:cs="Times New Roman" w:eastAsia="Times New Roman" w:hAnsi="Times New Roman"/>
                <w:sz w:val="12"/>
                <w:szCs w:val="12"/>
                <w:color w:val="auto"/>
              </w:rPr>
              <w:t>Pro Forma</w:t>
            </w:r>
          </w:p>
        </w:tc>
        <w:tc>
          <w:tcPr>
            <w:tcW w:w="60" w:type="dxa"/>
            <w:vAlign w:val="bottom"/>
          </w:tcPr>
          <w:p>
            <w:pPr>
              <w:spacing w:after="0"/>
              <w:rPr>
                <w:sz w:val="13"/>
                <w:szCs w:val="13"/>
                <w:color w:val="auto"/>
              </w:rPr>
            </w:pPr>
          </w:p>
        </w:tc>
        <w:tc>
          <w:tcPr>
            <w:tcW w:w="1040" w:type="dxa"/>
            <w:vAlign w:val="bottom"/>
            <w:gridSpan w:val="2"/>
          </w:tcPr>
          <w:p>
            <w:pPr>
              <w:jc w:val="right"/>
              <w:ind w:right="280"/>
              <w:spacing w:after="0" w:line="151" w:lineRule="exact"/>
              <w:rPr>
                <w:sz w:val="20"/>
                <w:szCs w:val="20"/>
                <w:color w:val="auto"/>
              </w:rPr>
            </w:pPr>
            <w:r>
              <w:rPr>
                <w:rFonts w:ascii="Times New Roman" w:cs="Times New Roman" w:eastAsia="Times New Roman" w:hAnsi="Times New Roman"/>
                <w:sz w:val="11"/>
                <w:szCs w:val="11"/>
                <w:color w:val="auto"/>
              </w:rPr>
              <w:t xml:space="preserve">As Reported </w:t>
            </w:r>
            <w:r>
              <w:rPr>
                <w:rFonts w:ascii="Times New Roman" w:cs="Times New Roman" w:eastAsia="Times New Roman" w:hAnsi="Times New Roman"/>
                <w:sz w:val="17"/>
                <w:szCs w:val="17"/>
                <w:color w:val="auto"/>
                <w:vertAlign w:val="superscript"/>
              </w:rPr>
              <w:t>(1)</w:t>
            </w:r>
          </w:p>
        </w:tc>
        <w:tc>
          <w:tcPr>
            <w:tcW w:w="60" w:type="dxa"/>
            <w:vAlign w:val="bottom"/>
          </w:tcPr>
          <w:p>
            <w:pPr>
              <w:spacing w:after="0"/>
              <w:rPr>
                <w:sz w:val="13"/>
                <w:szCs w:val="13"/>
                <w:color w:val="auto"/>
              </w:rPr>
            </w:pPr>
          </w:p>
        </w:tc>
        <w:tc>
          <w:tcPr>
            <w:tcW w:w="1060" w:type="dxa"/>
            <w:vAlign w:val="bottom"/>
            <w:gridSpan w:val="2"/>
          </w:tcPr>
          <w:p>
            <w:pPr>
              <w:jc w:val="center"/>
              <w:ind w:right="280"/>
              <w:spacing w:after="0" w:line="151" w:lineRule="exact"/>
              <w:rPr>
                <w:sz w:val="20"/>
                <w:szCs w:val="20"/>
                <w:color w:val="auto"/>
              </w:rPr>
            </w:pPr>
            <w:r>
              <w:rPr>
                <w:rFonts w:ascii="Times New Roman" w:cs="Times New Roman" w:eastAsia="Times New Roman" w:hAnsi="Times New Roman"/>
                <w:sz w:val="11"/>
                <w:szCs w:val="11"/>
                <w:color w:val="auto"/>
              </w:rPr>
              <w:t xml:space="preserve">Adjustments </w:t>
            </w:r>
            <w:r>
              <w:rPr>
                <w:rFonts w:ascii="Times New Roman" w:cs="Times New Roman" w:eastAsia="Times New Roman" w:hAnsi="Times New Roman"/>
                <w:sz w:val="17"/>
                <w:szCs w:val="17"/>
                <w:color w:val="auto"/>
                <w:vertAlign w:val="superscript"/>
              </w:rPr>
              <w:t>(2)</w:t>
            </w:r>
          </w:p>
        </w:tc>
        <w:tc>
          <w:tcPr>
            <w:tcW w:w="80" w:type="dxa"/>
            <w:vAlign w:val="bottom"/>
          </w:tcPr>
          <w:p>
            <w:pPr>
              <w:spacing w:after="0"/>
              <w:rPr>
                <w:sz w:val="13"/>
                <w:szCs w:val="13"/>
                <w:color w:val="auto"/>
              </w:rPr>
            </w:pPr>
          </w:p>
        </w:tc>
        <w:tc>
          <w:tcPr>
            <w:tcW w:w="1020" w:type="dxa"/>
            <w:vAlign w:val="bottom"/>
            <w:gridSpan w:val="2"/>
          </w:tcPr>
          <w:p>
            <w:pPr>
              <w:jc w:val="right"/>
              <w:ind w:right="400"/>
              <w:spacing w:after="0"/>
              <w:rPr>
                <w:sz w:val="20"/>
                <w:szCs w:val="20"/>
                <w:color w:val="auto"/>
              </w:rPr>
            </w:pPr>
            <w:r>
              <w:rPr>
                <w:rFonts w:ascii="Times New Roman" w:cs="Times New Roman" w:eastAsia="Times New Roman" w:hAnsi="Times New Roman"/>
                <w:sz w:val="12"/>
                <w:szCs w:val="12"/>
                <w:color w:val="auto"/>
              </w:rPr>
              <w:t>Pro Forma</w:t>
            </w:r>
          </w:p>
        </w:tc>
        <w:tc>
          <w:tcPr>
            <w:tcW w:w="1140" w:type="dxa"/>
            <w:vAlign w:val="bottom"/>
            <w:gridSpan w:val="2"/>
          </w:tcPr>
          <w:p>
            <w:pPr>
              <w:jc w:val="right"/>
              <w:ind w:right="540"/>
              <w:spacing w:after="0"/>
              <w:rPr>
                <w:sz w:val="20"/>
                <w:szCs w:val="20"/>
                <w:color w:val="auto"/>
              </w:rPr>
            </w:pPr>
            <w:r>
              <w:rPr>
                <w:rFonts w:ascii="Times New Roman" w:cs="Times New Roman" w:eastAsia="Times New Roman" w:hAnsi="Times New Roman"/>
                <w:sz w:val="12"/>
                <w:szCs w:val="12"/>
                <w:color w:val="auto"/>
              </w:rPr>
              <w:t>Actual</w:t>
            </w:r>
          </w:p>
        </w:tc>
        <w:tc>
          <w:tcPr>
            <w:tcW w:w="1040" w:type="dxa"/>
            <w:vAlign w:val="bottom"/>
            <w:gridSpan w:val="2"/>
          </w:tcPr>
          <w:p>
            <w:pPr>
              <w:jc w:val="right"/>
              <w:ind w:right="340"/>
              <w:spacing w:after="0"/>
              <w:rPr>
                <w:sz w:val="20"/>
                <w:szCs w:val="20"/>
                <w:color w:val="auto"/>
              </w:rPr>
            </w:pPr>
            <w:r>
              <w:rPr>
                <w:rFonts w:ascii="Times New Roman" w:cs="Times New Roman" w:eastAsia="Times New Roman" w:hAnsi="Times New Roman"/>
                <w:sz w:val="12"/>
                <w:szCs w:val="12"/>
                <w:color w:val="auto"/>
              </w:rPr>
              <w:t>Pro Forma</w:t>
            </w:r>
          </w:p>
        </w:tc>
      </w:tr>
      <w:tr>
        <w:trPr>
          <w:trHeight w:val="155"/>
        </w:trPr>
        <w:tc>
          <w:tcPr>
            <w:tcW w:w="2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gridSpan w:val="2"/>
          </w:tcPr>
          <w:p>
            <w:pPr>
              <w:jc w:val="right"/>
              <w:ind w:right="380"/>
              <w:spacing w:after="0"/>
              <w:rPr>
                <w:sz w:val="20"/>
                <w:szCs w:val="20"/>
                <w:color w:val="auto"/>
              </w:rPr>
            </w:pPr>
            <w:r>
              <w:rPr>
                <w:rFonts w:ascii="Times New Roman" w:cs="Times New Roman" w:eastAsia="Times New Roman" w:hAnsi="Times New Roman"/>
                <w:sz w:val="12"/>
                <w:szCs w:val="12"/>
                <w:color w:val="auto"/>
              </w:rPr>
              <w:t>Feb 28, 2026</w:t>
            </w:r>
          </w:p>
        </w:tc>
        <w:tc>
          <w:tcPr>
            <w:tcW w:w="60" w:type="dxa"/>
            <w:vAlign w:val="bottom"/>
          </w:tcPr>
          <w:p>
            <w:pPr>
              <w:spacing w:after="0"/>
              <w:rPr>
                <w:sz w:val="13"/>
                <w:szCs w:val="13"/>
                <w:color w:val="auto"/>
              </w:rPr>
            </w:pPr>
          </w:p>
        </w:tc>
        <w:tc>
          <w:tcPr>
            <w:tcW w:w="1080" w:type="dxa"/>
            <w:vAlign w:val="bottom"/>
            <w:gridSpan w:val="2"/>
          </w:tcPr>
          <w:p>
            <w:pPr>
              <w:jc w:val="center"/>
              <w:ind w:right="300"/>
              <w:spacing w:after="0"/>
              <w:rPr>
                <w:sz w:val="20"/>
                <w:szCs w:val="20"/>
                <w:color w:val="auto"/>
              </w:rPr>
            </w:pPr>
            <w:r>
              <w:rPr>
                <w:rFonts w:ascii="Times New Roman" w:cs="Times New Roman" w:eastAsia="Times New Roman" w:hAnsi="Times New Roman"/>
                <w:sz w:val="12"/>
                <w:szCs w:val="12"/>
                <w:color w:val="auto"/>
                <w:w w:val="98"/>
              </w:rPr>
              <w:t>Feb 28, 2026</w:t>
            </w:r>
          </w:p>
        </w:tc>
        <w:tc>
          <w:tcPr>
            <w:tcW w:w="100" w:type="dxa"/>
            <w:vAlign w:val="bottom"/>
          </w:tcPr>
          <w:p>
            <w:pPr>
              <w:spacing w:after="0"/>
              <w:rPr>
                <w:sz w:val="13"/>
                <w:szCs w:val="13"/>
                <w:color w:val="auto"/>
              </w:rPr>
            </w:pPr>
          </w:p>
        </w:tc>
        <w:tc>
          <w:tcPr>
            <w:tcW w:w="1040" w:type="dxa"/>
            <w:vAlign w:val="bottom"/>
            <w:gridSpan w:val="2"/>
          </w:tcPr>
          <w:p>
            <w:pPr>
              <w:jc w:val="right"/>
              <w:ind w:right="360"/>
              <w:spacing w:after="0"/>
              <w:rPr>
                <w:sz w:val="20"/>
                <w:szCs w:val="20"/>
                <w:color w:val="auto"/>
              </w:rPr>
            </w:pPr>
            <w:r>
              <w:rPr>
                <w:rFonts w:ascii="Times New Roman" w:cs="Times New Roman" w:eastAsia="Times New Roman" w:hAnsi="Times New Roman"/>
                <w:sz w:val="12"/>
                <w:szCs w:val="12"/>
                <w:color w:val="auto"/>
              </w:rPr>
              <w:t>Feb 28, 2026</w:t>
            </w:r>
          </w:p>
        </w:tc>
        <w:tc>
          <w:tcPr>
            <w:tcW w:w="60" w:type="dxa"/>
            <w:vAlign w:val="bottom"/>
          </w:tcPr>
          <w:p>
            <w:pPr>
              <w:spacing w:after="0"/>
              <w:rPr>
                <w:sz w:val="13"/>
                <w:szCs w:val="13"/>
                <w:color w:val="auto"/>
              </w:rPr>
            </w:pPr>
          </w:p>
        </w:tc>
        <w:tc>
          <w:tcPr>
            <w:tcW w:w="1040" w:type="dxa"/>
            <w:vAlign w:val="bottom"/>
            <w:gridSpan w:val="2"/>
          </w:tcPr>
          <w:p>
            <w:pPr>
              <w:jc w:val="right"/>
              <w:ind w:right="340"/>
              <w:spacing w:after="0"/>
              <w:rPr>
                <w:sz w:val="20"/>
                <w:szCs w:val="20"/>
                <w:color w:val="auto"/>
              </w:rPr>
            </w:pPr>
            <w:r>
              <w:rPr>
                <w:rFonts w:ascii="Times New Roman" w:cs="Times New Roman" w:eastAsia="Times New Roman" w:hAnsi="Times New Roman"/>
                <w:sz w:val="12"/>
                <w:szCs w:val="12"/>
                <w:color w:val="auto"/>
              </w:rPr>
              <w:t>Feb 28, 2025</w:t>
            </w:r>
          </w:p>
        </w:tc>
        <w:tc>
          <w:tcPr>
            <w:tcW w:w="60" w:type="dxa"/>
            <w:vAlign w:val="bottom"/>
          </w:tcPr>
          <w:p>
            <w:pPr>
              <w:spacing w:after="0"/>
              <w:rPr>
                <w:sz w:val="13"/>
                <w:szCs w:val="13"/>
                <w:color w:val="auto"/>
              </w:rPr>
            </w:pP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2"/>
                <w:szCs w:val="12"/>
                <w:color w:val="auto"/>
                <w:w w:val="98"/>
              </w:rPr>
              <w:t>Feb 28, 2025</w:t>
            </w:r>
          </w:p>
        </w:tc>
        <w:tc>
          <w:tcPr>
            <w:tcW w:w="80" w:type="dxa"/>
            <w:vAlign w:val="bottom"/>
          </w:tcPr>
          <w:p>
            <w:pPr>
              <w:spacing w:after="0"/>
              <w:rPr>
                <w:sz w:val="13"/>
                <w:szCs w:val="13"/>
                <w:color w:val="auto"/>
              </w:rPr>
            </w:pPr>
          </w:p>
        </w:tc>
        <w:tc>
          <w:tcPr>
            <w:tcW w:w="1020" w:type="dxa"/>
            <w:vAlign w:val="bottom"/>
            <w:gridSpan w:val="2"/>
          </w:tcPr>
          <w:p>
            <w:pPr>
              <w:jc w:val="right"/>
              <w:ind w:right="340"/>
              <w:spacing w:after="0"/>
              <w:rPr>
                <w:sz w:val="20"/>
                <w:szCs w:val="20"/>
                <w:color w:val="auto"/>
              </w:rPr>
            </w:pPr>
            <w:r>
              <w:rPr>
                <w:rFonts w:ascii="Times New Roman" w:cs="Times New Roman" w:eastAsia="Times New Roman" w:hAnsi="Times New Roman"/>
                <w:sz w:val="12"/>
                <w:szCs w:val="12"/>
                <w:color w:val="auto"/>
              </w:rPr>
              <w:t>Feb 28, 2025</w:t>
            </w:r>
          </w:p>
        </w:tc>
        <w:tc>
          <w:tcPr>
            <w:tcW w:w="1140" w:type="dxa"/>
            <w:vAlign w:val="bottom"/>
            <w:gridSpan w:val="2"/>
          </w:tcPr>
          <w:p>
            <w:pPr>
              <w:jc w:val="right"/>
              <w:ind w:right="440"/>
              <w:spacing w:after="0"/>
              <w:rPr>
                <w:sz w:val="20"/>
                <w:szCs w:val="20"/>
                <w:color w:val="auto"/>
              </w:rPr>
            </w:pPr>
            <w:r>
              <w:rPr>
                <w:rFonts w:ascii="Times New Roman" w:cs="Times New Roman" w:eastAsia="Times New Roman" w:hAnsi="Times New Roman"/>
                <w:sz w:val="12"/>
                <w:szCs w:val="12"/>
                <w:color w:val="auto"/>
              </w:rPr>
              <w:t>% Change</w:t>
            </w:r>
          </w:p>
        </w:tc>
        <w:tc>
          <w:tcPr>
            <w:tcW w:w="1040" w:type="dxa"/>
            <w:vAlign w:val="bottom"/>
            <w:gridSpan w:val="2"/>
          </w:tcPr>
          <w:p>
            <w:pPr>
              <w:jc w:val="right"/>
              <w:ind w:right="340"/>
              <w:spacing w:after="0"/>
              <w:rPr>
                <w:sz w:val="20"/>
                <w:szCs w:val="20"/>
                <w:color w:val="auto"/>
              </w:rPr>
            </w:pPr>
            <w:r>
              <w:rPr>
                <w:rFonts w:ascii="Times New Roman" w:cs="Times New Roman" w:eastAsia="Times New Roman" w:hAnsi="Times New Roman"/>
                <w:sz w:val="12"/>
                <w:szCs w:val="12"/>
                <w:color w:val="auto"/>
              </w:rPr>
              <w:t>% Change</w:t>
            </w:r>
          </w:p>
        </w:tc>
      </w:tr>
      <w:tr>
        <w:trPr>
          <w:trHeight w:val="142"/>
        </w:trPr>
        <w:tc>
          <w:tcPr>
            <w:tcW w:w="23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(unaudited)</w:t>
            </w:r>
          </w:p>
        </w:tc>
        <w:tc>
          <w:tcPr>
            <w:tcW w:w="2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center"/>
              <w:ind w:right="1"/>
              <w:spacing w:after="0"/>
              <w:rPr>
                <w:sz w:val="20"/>
                <w:szCs w:val="20"/>
                <w:color w:val="auto"/>
              </w:rPr>
            </w:pPr>
            <w:r>
              <w:rPr>
                <w:rFonts w:ascii="Times New Roman" w:cs="Times New Roman" w:eastAsia="Times New Roman" w:hAnsi="Times New Roman"/>
                <w:sz w:val="12"/>
                <w:szCs w:val="12"/>
                <w:color w:val="auto"/>
                <w:w w:val="97"/>
              </w:rPr>
              <w:t>(unaudited)</w:t>
            </w:r>
          </w:p>
        </w:tc>
        <w:tc>
          <w:tcPr>
            <w:tcW w:w="2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r>
      <w:tr>
        <w:trPr>
          <w:trHeight w:val="144"/>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Med Tech</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23,292</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23,292</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19,588</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19,588</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18.9%</w:t>
            </w: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18.9%</w:t>
            </w:r>
          </w:p>
        </w:tc>
      </w:tr>
      <w:tr>
        <w:trPr>
          <w:trHeight w:val="144"/>
        </w:trPr>
        <w:tc>
          <w:tcPr>
            <w:tcW w:w="2380" w:type="dxa"/>
            <w:vAlign w:val="bottom"/>
          </w:tcPr>
          <w:p>
            <w:pPr>
              <w:spacing w:after="0"/>
              <w:rPr>
                <w:sz w:val="20"/>
                <w:szCs w:val="20"/>
                <w:color w:val="auto"/>
              </w:rPr>
            </w:pPr>
            <w:r>
              <w:rPr>
                <w:rFonts w:ascii="Times New Roman" w:cs="Times New Roman" w:eastAsia="Times New Roman" w:hAnsi="Times New Roman"/>
                <w:sz w:val="12"/>
                <w:szCs w:val="12"/>
                <w:color w:val="auto"/>
              </w:rPr>
              <w:t>Gross margin % of sales</w:t>
            </w:r>
          </w:p>
        </w:tc>
        <w:tc>
          <w:tcPr>
            <w:tcW w:w="100" w:type="dxa"/>
            <w:vAlign w:val="bottom"/>
          </w:tcPr>
          <w:p>
            <w:pPr>
              <w:spacing w:after="0"/>
              <w:rPr>
                <w:sz w:val="12"/>
                <w:szCs w:val="12"/>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62.5%</w:t>
            </w: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62.5%</w:t>
            </w:r>
          </w:p>
        </w:tc>
        <w:tc>
          <w:tcPr>
            <w:tcW w:w="60" w:type="dxa"/>
            <w:vAlign w:val="bottom"/>
          </w:tcPr>
          <w:p>
            <w:pPr>
              <w:spacing w:after="0"/>
              <w:rPr>
                <w:sz w:val="12"/>
                <w:szCs w:val="12"/>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62.5%</w:t>
            </w: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62.5%</w:t>
            </w: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44"/>
        </w:trPr>
        <w:tc>
          <w:tcPr>
            <w:tcW w:w="2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spacing w:after="0"/>
              <w:rPr>
                <w:sz w:val="12"/>
                <w:szCs w:val="12"/>
                <w:color w:val="auto"/>
              </w:rPr>
            </w:pPr>
          </w:p>
        </w:tc>
        <w:tc>
          <w:tcPr>
            <w:tcW w:w="1140" w:type="dxa"/>
            <w:vAlign w:val="bottom"/>
            <w:gridSpan w:val="2"/>
            <w:shd w:val="clear" w:color="auto" w:fill="CCEEFF"/>
          </w:tcPr>
          <w:p>
            <w:pPr>
              <w:spacing w:after="0"/>
              <w:rPr>
                <w:sz w:val="12"/>
                <w:szCs w:val="12"/>
                <w:color w:val="auto"/>
              </w:rPr>
            </w:pPr>
          </w:p>
        </w:tc>
        <w:tc>
          <w:tcPr>
            <w:tcW w:w="1040" w:type="dxa"/>
            <w:vAlign w:val="bottom"/>
            <w:gridSpan w:val="2"/>
            <w:shd w:val="clear" w:color="auto" w:fill="CCEEFF"/>
          </w:tcPr>
          <w:p>
            <w:pPr>
              <w:spacing w:after="0"/>
              <w:rPr>
                <w:sz w:val="12"/>
                <w:szCs w:val="12"/>
                <w:color w:val="auto"/>
              </w:rPr>
            </w:pPr>
          </w:p>
        </w:tc>
      </w:tr>
      <w:tr>
        <w:trPr>
          <w:trHeight w:val="144"/>
        </w:trPr>
        <w:tc>
          <w:tcPr>
            <w:tcW w:w="2380" w:type="dxa"/>
            <w:vAlign w:val="bottom"/>
          </w:tcPr>
          <w:p>
            <w:pPr>
              <w:spacing w:after="0"/>
              <w:rPr>
                <w:sz w:val="20"/>
                <w:szCs w:val="20"/>
                <w:color w:val="auto"/>
              </w:rPr>
            </w:pPr>
            <w:r>
              <w:rPr>
                <w:rFonts w:ascii="Times New Roman" w:cs="Times New Roman" w:eastAsia="Times New Roman" w:hAnsi="Times New Roman"/>
                <w:sz w:val="12"/>
                <w:szCs w:val="12"/>
                <w:color w:val="auto"/>
              </w:rPr>
              <w:t>Med Device</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18,187</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(2)</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18,185</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19,269</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3</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19,272</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(5.6)%</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(5.6)%</w:t>
            </w:r>
          </w:p>
        </w:tc>
      </w:tr>
      <w:tr>
        <w:trPr>
          <w:trHeight w:val="144"/>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Gross margin % of sales</w:t>
            </w:r>
          </w:p>
        </w:tc>
        <w:tc>
          <w:tcPr>
            <w:tcW w:w="1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44.2%</w:t>
            </w: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44.2%</w:t>
            </w:r>
          </w:p>
        </w:tc>
        <w:tc>
          <w:tcPr>
            <w:tcW w:w="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47.4%</w:t>
            </w: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47.4%</w:t>
            </w:r>
          </w:p>
        </w:tc>
        <w:tc>
          <w:tcPr>
            <w:tcW w:w="8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r>
      <w:tr>
        <w:trPr>
          <w:trHeight w:val="144"/>
        </w:trPr>
        <w:tc>
          <w:tcPr>
            <w:tcW w:w="2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spacing w:after="0"/>
              <w:rPr>
                <w:sz w:val="12"/>
                <w:szCs w:val="12"/>
                <w:color w:val="auto"/>
              </w:rPr>
            </w:pPr>
          </w:p>
        </w:tc>
        <w:tc>
          <w:tcPr>
            <w:tcW w:w="60" w:type="dxa"/>
            <w:vAlign w:val="bottom"/>
          </w:tcPr>
          <w:p>
            <w:pPr>
              <w:spacing w:after="0"/>
              <w:rPr>
                <w:sz w:val="12"/>
                <w:szCs w:val="12"/>
                <w:color w:val="auto"/>
              </w:rPr>
            </w:pPr>
          </w:p>
        </w:tc>
        <w:tc>
          <w:tcPr>
            <w:tcW w:w="1080" w:type="dxa"/>
            <w:vAlign w:val="bottom"/>
            <w:gridSpan w:val="2"/>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spacing w:after="0"/>
              <w:rPr>
                <w:sz w:val="12"/>
                <w:szCs w:val="12"/>
                <w:color w:val="auto"/>
              </w:rPr>
            </w:pPr>
          </w:p>
        </w:tc>
        <w:tc>
          <w:tcPr>
            <w:tcW w:w="60" w:type="dxa"/>
            <w:vAlign w:val="bottom"/>
          </w:tcPr>
          <w:p>
            <w:pPr>
              <w:spacing w:after="0"/>
              <w:rPr>
                <w:sz w:val="12"/>
                <w:szCs w:val="12"/>
                <w:color w:val="auto"/>
              </w:rPr>
            </w:pPr>
          </w:p>
        </w:tc>
        <w:tc>
          <w:tcPr>
            <w:tcW w:w="1040" w:type="dxa"/>
            <w:vAlign w:val="bottom"/>
            <w:gridSpan w:val="2"/>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gridSpan w:val="2"/>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spacing w:after="0"/>
              <w:rPr>
                <w:sz w:val="12"/>
                <w:szCs w:val="12"/>
                <w:color w:val="auto"/>
              </w:rPr>
            </w:pPr>
          </w:p>
        </w:tc>
        <w:tc>
          <w:tcPr>
            <w:tcW w:w="1140" w:type="dxa"/>
            <w:vAlign w:val="bottom"/>
            <w:gridSpan w:val="2"/>
          </w:tcPr>
          <w:p>
            <w:pPr>
              <w:spacing w:after="0"/>
              <w:rPr>
                <w:sz w:val="12"/>
                <w:szCs w:val="12"/>
                <w:color w:val="auto"/>
              </w:rPr>
            </w:pPr>
          </w:p>
        </w:tc>
        <w:tc>
          <w:tcPr>
            <w:tcW w:w="1040" w:type="dxa"/>
            <w:vAlign w:val="bottom"/>
            <w:gridSpan w:val="2"/>
          </w:tcPr>
          <w:p>
            <w:pPr>
              <w:spacing w:after="0"/>
              <w:rPr>
                <w:sz w:val="12"/>
                <w:szCs w:val="12"/>
                <w:color w:val="auto"/>
              </w:rPr>
            </w:pPr>
          </w:p>
        </w:tc>
      </w:tr>
      <w:tr>
        <w:trPr>
          <w:trHeight w:val="144"/>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Total</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41,479</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41,477</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38,857</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3</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38,860</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6.7%</w:t>
            </w: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6.7%</w:t>
            </w:r>
          </w:p>
        </w:tc>
      </w:tr>
      <w:tr>
        <w:trPr>
          <w:trHeight w:val="155"/>
        </w:trPr>
        <w:tc>
          <w:tcPr>
            <w:tcW w:w="2380" w:type="dxa"/>
            <w:vAlign w:val="bottom"/>
          </w:tcPr>
          <w:p>
            <w:pPr>
              <w:spacing w:after="0"/>
              <w:rPr>
                <w:sz w:val="20"/>
                <w:szCs w:val="20"/>
                <w:color w:val="auto"/>
              </w:rPr>
            </w:pPr>
            <w:r>
              <w:rPr>
                <w:rFonts w:ascii="Times New Roman" w:cs="Times New Roman" w:eastAsia="Times New Roman" w:hAnsi="Times New Roman"/>
                <w:sz w:val="12"/>
                <w:szCs w:val="12"/>
                <w:color w:val="auto"/>
              </w:rPr>
              <w:t>Gross margin % of sales</w:t>
            </w:r>
          </w:p>
        </w:tc>
        <w:tc>
          <w:tcPr>
            <w:tcW w:w="100" w:type="dxa"/>
            <w:vAlign w:val="bottom"/>
          </w:tcPr>
          <w:p>
            <w:pPr>
              <w:spacing w:after="0"/>
              <w:rPr>
                <w:sz w:val="13"/>
                <w:szCs w:val="13"/>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52.9%</w:t>
            </w: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52.9%</w:t>
            </w:r>
          </w:p>
        </w:tc>
        <w:tc>
          <w:tcPr>
            <w:tcW w:w="60" w:type="dxa"/>
            <w:vAlign w:val="bottom"/>
          </w:tcPr>
          <w:p>
            <w:pPr>
              <w:spacing w:after="0"/>
              <w:rPr>
                <w:sz w:val="13"/>
                <w:szCs w:val="13"/>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54.0%</w:t>
            </w: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54.0%</w:t>
            </w:r>
          </w:p>
        </w:tc>
        <w:tc>
          <w:tcPr>
            <w:tcW w:w="8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0" w:type="dxa"/>
            <w:vAlign w:val="bottom"/>
          </w:tcPr>
          <w:p>
            <w:pPr>
              <w:spacing w:after="0"/>
              <w:rPr>
                <w:sz w:val="13"/>
                <w:szCs w:val="13"/>
                <w:color w:val="auto"/>
              </w:rPr>
            </w:pPr>
          </w:p>
        </w:tc>
      </w:tr>
    </w:tbl>
    <w:p>
      <w:pPr>
        <w:spacing w:after="0" w:line="122" w:lineRule="exact"/>
        <w:rPr>
          <w:sz w:val="20"/>
          <w:szCs w:val="20"/>
          <w:color w:val="auto"/>
        </w:rPr>
      </w:pPr>
    </w:p>
    <w:p>
      <w:pPr>
        <w:ind w:left="8" w:right="260" w:hanging="8"/>
        <w:spacing w:after="0" w:line="279" w:lineRule="auto"/>
        <w:tabs>
          <w:tab w:leader="none" w:pos="208" w:val="left"/>
        </w:tabs>
        <w:numPr>
          <w:ilvl w:val="0"/>
          <w:numId w:val="1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Reflects the Company's US GAAP consolidated financial statements before pro forma adjustments related to the sale of the Dialysis and BioSentry Businesses on June 8, 2023, the sale of the PICCs and Midlines Businesses on February 15, 2024 and the discontinuation of the RadioFrequency Ablation and Syntrax products ("the Businesses") as of February 29, 2024, for the three months ended February 28, 2025.</w:t>
      </w:r>
    </w:p>
    <w:p>
      <w:pPr>
        <w:spacing w:after="0" w:line="111" w:lineRule="exact"/>
        <w:rPr>
          <w:rFonts w:ascii="Times New Roman" w:cs="Times New Roman" w:eastAsia="Times New Roman" w:hAnsi="Times New Roman"/>
          <w:sz w:val="12"/>
          <w:szCs w:val="12"/>
          <w:color w:val="auto"/>
        </w:rPr>
      </w:pPr>
    </w:p>
    <w:p>
      <w:pPr>
        <w:ind w:left="168" w:hanging="168"/>
        <w:spacing w:after="0"/>
        <w:tabs>
          <w:tab w:leader="none" w:pos="168" w:val="left"/>
        </w:tabs>
        <w:numPr>
          <w:ilvl w:val="0"/>
          <w:numId w:val="1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Reflects the elimination of revenues and expenses representing the operating results from the sales and discontinuation of the Businesses.</w:t>
      </w:r>
    </w:p>
    <w:p>
      <w:pPr>
        <w:spacing w:after="0" w:line="263"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0"/>
          <w:szCs w:val="10"/>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21590</wp:posOffset>
            </wp:positionV>
            <wp:extent cx="7178040" cy="114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8"/>
          </w:cols>
          <w:pgMar w:left="292" w:top="125" w:right="299" w:bottom="1440" w:gutter="0" w:footer="0" w:header="0"/>
        </w:sectPr>
      </w:pPr>
    </w:p>
    <w:bookmarkStart w:id="17" w:name="page18"/>
    <w:bookmarkEnd w:id="17"/>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ANGIODYNAMICS, INC. AND SUBSIDIARIES</w:t>
      </w:r>
    </w:p>
    <w:p>
      <w:pPr>
        <w:spacing w:after="0" w:line="2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NET SALES BY PRODUCT CATEGORY AND BY GEOGRAPHY</w:t>
      </w:r>
    </w:p>
    <w:p>
      <w:pPr>
        <w:spacing w:after="0" w:line="6"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(in thousands)</w:t>
      </w:r>
    </w:p>
    <w:p>
      <w:pPr>
        <w:spacing w:after="0" w:line="139" w:lineRule="exact"/>
        <w:rPr>
          <w:sz w:val="20"/>
          <w:szCs w:val="20"/>
          <w:color w:val="auto"/>
        </w:rPr>
      </w:pPr>
    </w:p>
    <w:tbl>
      <w:tblPr>
        <w:tblLayout w:type="fixed"/>
        <w:tblInd w:w="8" w:type="dxa"/>
        <w:tblCellMar>
          <w:top w:w="0" w:type="dxa"/>
          <w:left w:w="0" w:type="dxa"/>
          <w:bottom w:w="0" w:type="dxa"/>
          <w:right w:w="0" w:type="dxa"/>
        </w:tblCellMar>
      </w:tblPr>
      <w:tr>
        <w:trPr>
          <w:trHeight w:val="155"/>
        </w:trPr>
        <w:tc>
          <w:tcPr>
            <w:tcW w:w="23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200" w:type="dxa"/>
            <w:vAlign w:val="bottom"/>
            <w:tcBorders>
              <w:bottom w:val="single" w:sz="8" w:color="auto"/>
            </w:tcBorders>
            <w:gridSpan w:val="5"/>
          </w:tcPr>
          <w:p>
            <w:pPr>
              <w:ind w:left="420"/>
              <w:spacing w:after="0"/>
              <w:rPr>
                <w:sz w:val="20"/>
                <w:szCs w:val="20"/>
                <w:color w:val="auto"/>
              </w:rPr>
            </w:pPr>
            <w:r>
              <w:rPr>
                <w:rFonts w:ascii="Times New Roman" w:cs="Times New Roman" w:eastAsia="Times New Roman" w:hAnsi="Times New Roman"/>
                <w:sz w:val="12"/>
                <w:szCs w:val="12"/>
                <w:color w:val="auto"/>
              </w:rPr>
              <w:t>Nine Months Ended</w:t>
            </w:r>
          </w:p>
        </w:tc>
        <w:tc>
          <w:tcPr>
            <w:tcW w:w="1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2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80" w:type="dxa"/>
            <w:vAlign w:val="bottom"/>
            <w:gridSpan w:val="2"/>
          </w:tcPr>
          <w:p>
            <w:pPr>
              <w:jc w:val="center"/>
              <w:ind w:right="300"/>
              <w:spacing w:after="0" w:line="124" w:lineRule="exact"/>
              <w:rPr>
                <w:sz w:val="20"/>
                <w:szCs w:val="20"/>
                <w:color w:val="auto"/>
              </w:rPr>
            </w:pPr>
            <w:r>
              <w:rPr>
                <w:rFonts w:ascii="Times New Roman" w:cs="Times New Roman" w:eastAsia="Times New Roman" w:hAnsi="Times New Roman"/>
                <w:sz w:val="12"/>
                <w:szCs w:val="12"/>
                <w:color w:val="auto"/>
                <w:w w:val="97"/>
              </w:rPr>
              <w:t>Pro Forma</w:t>
            </w: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60" w:type="dxa"/>
            <w:vAlign w:val="bottom"/>
            <w:gridSpan w:val="2"/>
          </w:tcPr>
          <w:p>
            <w:pPr>
              <w:jc w:val="center"/>
              <w:ind w:right="300"/>
              <w:spacing w:after="0" w:line="124" w:lineRule="exact"/>
              <w:rPr>
                <w:sz w:val="20"/>
                <w:szCs w:val="20"/>
                <w:color w:val="auto"/>
              </w:rPr>
            </w:pPr>
            <w:r>
              <w:rPr>
                <w:rFonts w:ascii="Times New Roman" w:cs="Times New Roman" w:eastAsia="Times New Roman" w:hAnsi="Times New Roman"/>
                <w:sz w:val="12"/>
                <w:szCs w:val="12"/>
                <w:color w:val="auto"/>
              </w:rPr>
              <w:t>Pro Forma</w:t>
            </w: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2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gridSpan w:val="2"/>
          </w:tcPr>
          <w:p>
            <w:pPr>
              <w:jc w:val="center"/>
              <w:ind w:right="280"/>
              <w:spacing w:after="0" w:line="151" w:lineRule="exact"/>
              <w:rPr>
                <w:sz w:val="20"/>
                <w:szCs w:val="20"/>
                <w:color w:val="auto"/>
              </w:rPr>
            </w:pPr>
            <w:r>
              <w:rPr>
                <w:rFonts w:ascii="Times New Roman" w:cs="Times New Roman" w:eastAsia="Times New Roman" w:hAnsi="Times New Roman"/>
                <w:sz w:val="11"/>
                <w:szCs w:val="11"/>
                <w:color w:val="auto"/>
              </w:rPr>
              <w:t xml:space="preserve">Adjustments </w:t>
            </w:r>
            <w:r>
              <w:rPr>
                <w:rFonts w:ascii="Times New Roman" w:cs="Times New Roman" w:eastAsia="Times New Roman" w:hAnsi="Times New Roman"/>
                <w:sz w:val="17"/>
                <w:szCs w:val="17"/>
                <w:color w:val="auto"/>
                <w:vertAlign w:val="superscript"/>
              </w:rPr>
              <w:t>(2)</w:t>
            </w:r>
          </w:p>
        </w:tc>
        <w:tc>
          <w:tcPr>
            <w:tcW w:w="100" w:type="dxa"/>
            <w:vAlign w:val="bottom"/>
          </w:tcPr>
          <w:p>
            <w:pPr>
              <w:spacing w:after="0"/>
              <w:rPr>
                <w:sz w:val="13"/>
                <w:szCs w:val="13"/>
                <w:color w:val="auto"/>
              </w:rPr>
            </w:pPr>
          </w:p>
        </w:tc>
        <w:tc>
          <w:tcPr>
            <w:tcW w:w="1040" w:type="dxa"/>
            <w:vAlign w:val="bottom"/>
            <w:gridSpan w:val="2"/>
          </w:tcPr>
          <w:p>
            <w:pPr>
              <w:jc w:val="center"/>
              <w:ind w:right="320"/>
              <w:spacing w:after="0"/>
              <w:rPr>
                <w:sz w:val="20"/>
                <w:szCs w:val="20"/>
                <w:color w:val="auto"/>
              </w:rPr>
            </w:pPr>
            <w:r>
              <w:rPr>
                <w:rFonts w:ascii="Times New Roman" w:cs="Times New Roman" w:eastAsia="Times New Roman" w:hAnsi="Times New Roman"/>
                <w:sz w:val="12"/>
                <w:szCs w:val="12"/>
                <w:color w:val="auto"/>
              </w:rPr>
              <w:t>Pro Forma</w:t>
            </w:r>
          </w:p>
        </w:tc>
        <w:tc>
          <w:tcPr>
            <w:tcW w:w="80" w:type="dxa"/>
            <w:vAlign w:val="bottom"/>
          </w:tcPr>
          <w:p>
            <w:pPr>
              <w:spacing w:after="0"/>
              <w:rPr>
                <w:sz w:val="13"/>
                <w:szCs w:val="13"/>
                <w:color w:val="auto"/>
              </w:rPr>
            </w:pPr>
          </w:p>
        </w:tc>
        <w:tc>
          <w:tcPr>
            <w:tcW w:w="1060" w:type="dxa"/>
            <w:vAlign w:val="bottom"/>
            <w:gridSpan w:val="2"/>
          </w:tcPr>
          <w:p>
            <w:pPr>
              <w:jc w:val="center"/>
              <w:ind w:right="300"/>
              <w:spacing w:after="0" w:line="151" w:lineRule="exact"/>
              <w:rPr>
                <w:sz w:val="20"/>
                <w:szCs w:val="20"/>
                <w:color w:val="auto"/>
              </w:rPr>
            </w:pPr>
            <w:r>
              <w:rPr>
                <w:rFonts w:ascii="Times New Roman" w:cs="Times New Roman" w:eastAsia="Times New Roman" w:hAnsi="Times New Roman"/>
                <w:sz w:val="11"/>
                <w:szCs w:val="11"/>
                <w:color w:val="auto"/>
              </w:rPr>
              <w:t xml:space="preserve">As Reported </w:t>
            </w:r>
            <w:r>
              <w:rPr>
                <w:rFonts w:ascii="Times New Roman" w:cs="Times New Roman" w:eastAsia="Times New Roman" w:hAnsi="Times New Roman"/>
                <w:sz w:val="17"/>
                <w:szCs w:val="17"/>
                <w:color w:val="auto"/>
                <w:vertAlign w:val="superscript"/>
              </w:rPr>
              <w:t>(1)</w:t>
            </w:r>
          </w:p>
        </w:tc>
        <w:tc>
          <w:tcPr>
            <w:tcW w:w="80" w:type="dxa"/>
            <w:vAlign w:val="bottom"/>
          </w:tcPr>
          <w:p>
            <w:pPr>
              <w:spacing w:after="0"/>
              <w:rPr>
                <w:sz w:val="13"/>
                <w:szCs w:val="13"/>
                <w:color w:val="auto"/>
              </w:rPr>
            </w:pPr>
          </w:p>
        </w:tc>
        <w:tc>
          <w:tcPr>
            <w:tcW w:w="1060" w:type="dxa"/>
            <w:vAlign w:val="bottom"/>
            <w:gridSpan w:val="2"/>
          </w:tcPr>
          <w:p>
            <w:pPr>
              <w:jc w:val="center"/>
              <w:ind w:right="300"/>
              <w:spacing w:after="0" w:line="151" w:lineRule="exact"/>
              <w:rPr>
                <w:sz w:val="20"/>
                <w:szCs w:val="20"/>
                <w:color w:val="auto"/>
              </w:rPr>
            </w:pPr>
            <w:r>
              <w:rPr>
                <w:rFonts w:ascii="Times New Roman" w:cs="Times New Roman" w:eastAsia="Times New Roman" w:hAnsi="Times New Roman"/>
                <w:sz w:val="11"/>
                <w:szCs w:val="11"/>
                <w:color w:val="auto"/>
              </w:rPr>
              <w:t xml:space="preserve">Adjustments </w:t>
            </w:r>
            <w:r>
              <w:rPr>
                <w:rFonts w:ascii="Times New Roman" w:cs="Times New Roman" w:eastAsia="Times New Roman" w:hAnsi="Times New Roman"/>
                <w:sz w:val="17"/>
                <w:szCs w:val="17"/>
                <w:color w:val="auto"/>
                <w:vertAlign w:val="superscript"/>
              </w:rPr>
              <w:t>(2)</w:t>
            </w:r>
          </w:p>
        </w:tc>
        <w:tc>
          <w:tcPr>
            <w:tcW w:w="100" w:type="dxa"/>
            <w:vAlign w:val="bottom"/>
          </w:tcPr>
          <w:p>
            <w:pPr>
              <w:spacing w:after="0"/>
              <w:rPr>
                <w:sz w:val="13"/>
                <w:szCs w:val="13"/>
                <w:color w:val="auto"/>
              </w:rPr>
            </w:pPr>
          </w:p>
        </w:tc>
        <w:tc>
          <w:tcPr>
            <w:tcW w:w="1000" w:type="dxa"/>
            <w:vAlign w:val="bottom"/>
            <w:gridSpan w:val="2"/>
          </w:tcPr>
          <w:p>
            <w:pPr>
              <w:jc w:val="center"/>
              <w:ind w:right="300"/>
              <w:spacing w:after="0"/>
              <w:rPr>
                <w:sz w:val="20"/>
                <w:szCs w:val="20"/>
                <w:color w:val="auto"/>
              </w:rPr>
            </w:pPr>
            <w:r>
              <w:rPr>
                <w:rFonts w:ascii="Times New Roman" w:cs="Times New Roman" w:eastAsia="Times New Roman" w:hAnsi="Times New Roman"/>
                <w:sz w:val="12"/>
                <w:szCs w:val="12"/>
                <w:color w:val="auto"/>
                <w:w w:val="97"/>
              </w:rPr>
              <w:t>Pro Forma</w:t>
            </w:r>
          </w:p>
        </w:tc>
        <w:tc>
          <w:tcPr>
            <w:tcW w:w="1120" w:type="dxa"/>
            <w:vAlign w:val="bottom"/>
            <w:gridSpan w:val="2"/>
          </w:tcPr>
          <w:p>
            <w:pPr>
              <w:jc w:val="right"/>
              <w:ind w:right="500"/>
              <w:spacing w:after="0"/>
              <w:rPr>
                <w:sz w:val="20"/>
                <w:szCs w:val="20"/>
                <w:color w:val="auto"/>
              </w:rPr>
            </w:pPr>
            <w:r>
              <w:rPr>
                <w:rFonts w:ascii="Times New Roman" w:cs="Times New Roman" w:eastAsia="Times New Roman" w:hAnsi="Times New Roman"/>
                <w:sz w:val="12"/>
                <w:szCs w:val="12"/>
                <w:color w:val="auto"/>
              </w:rPr>
              <w:t>Actual</w:t>
            </w:r>
          </w:p>
        </w:tc>
        <w:tc>
          <w:tcPr>
            <w:tcW w:w="1000" w:type="dxa"/>
            <w:vAlign w:val="bottom"/>
            <w:gridSpan w:val="2"/>
          </w:tcPr>
          <w:p>
            <w:pPr>
              <w:jc w:val="right"/>
              <w:ind w:right="300"/>
              <w:spacing w:after="0"/>
              <w:rPr>
                <w:sz w:val="20"/>
                <w:szCs w:val="20"/>
                <w:color w:val="auto"/>
              </w:rPr>
            </w:pPr>
            <w:r>
              <w:rPr>
                <w:rFonts w:ascii="Times New Roman" w:cs="Times New Roman" w:eastAsia="Times New Roman" w:hAnsi="Times New Roman"/>
                <w:sz w:val="12"/>
                <w:szCs w:val="12"/>
                <w:color w:val="auto"/>
              </w:rPr>
              <w:t>Pro Forma</w:t>
            </w:r>
          </w:p>
        </w:tc>
        <w:tc>
          <w:tcPr>
            <w:tcW w:w="0" w:type="dxa"/>
            <w:vAlign w:val="bottom"/>
          </w:tcPr>
          <w:p>
            <w:pPr>
              <w:spacing w:after="0"/>
              <w:rPr>
                <w:sz w:val="1"/>
                <w:szCs w:val="1"/>
                <w:color w:val="auto"/>
              </w:rPr>
            </w:pPr>
          </w:p>
        </w:tc>
      </w:tr>
      <w:tr>
        <w:trPr>
          <w:trHeight w:val="155"/>
        </w:trPr>
        <w:tc>
          <w:tcPr>
            <w:tcW w:w="2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gridSpan w:val="2"/>
          </w:tcPr>
          <w:p>
            <w:pPr>
              <w:jc w:val="right"/>
              <w:ind w:right="380"/>
              <w:spacing w:after="0"/>
              <w:rPr>
                <w:sz w:val="20"/>
                <w:szCs w:val="20"/>
                <w:color w:val="auto"/>
              </w:rPr>
            </w:pPr>
            <w:r>
              <w:rPr>
                <w:rFonts w:ascii="Times New Roman" w:cs="Times New Roman" w:eastAsia="Times New Roman" w:hAnsi="Times New Roman"/>
                <w:sz w:val="12"/>
                <w:szCs w:val="12"/>
                <w:color w:val="auto"/>
              </w:rPr>
              <w:t>Feb 28, 2026</w:t>
            </w:r>
          </w:p>
        </w:tc>
        <w:tc>
          <w:tcPr>
            <w:tcW w:w="60" w:type="dxa"/>
            <w:vAlign w:val="bottom"/>
          </w:tcPr>
          <w:p>
            <w:pPr>
              <w:spacing w:after="0"/>
              <w:rPr>
                <w:sz w:val="13"/>
                <w:szCs w:val="13"/>
                <w:color w:val="auto"/>
              </w:rPr>
            </w:pPr>
          </w:p>
        </w:tc>
        <w:tc>
          <w:tcPr>
            <w:tcW w:w="1080" w:type="dxa"/>
            <w:vAlign w:val="bottom"/>
            <w:gridSpan w:val="2"/>
          </w:tcPr>
          <w:p>
            <w:pPr>
              <w:jc w:val="center"/>
              <w:ind w:right="300"/>
              <w:spacing w:after="0"/>
              <w:rPr>
                <w:sz w:val="20"/>
                <w:szCs w:val="20"/>
                <w:color w:val="auto"/>
              </w:rPr>
            </w:pPr>
            <w:r>
              <w:rPr>
                <w:rFonts w:ascii="Times New Roman" w:cs="Times New Roman" w:eastAsia="Times New Roman" w:hAnsi="Times New Roman"/>
                <w:sz w:val="12"/>
                <w:szCs w:val="12"/>
                <w:color w:val="auto"/>
                <w:w w:val="98"/>
              </w:rPr>
              <w:t>Feb 28, 2026</w:t>
            </w:r>
          </w:p>
        </w:tc>
        <w:tc>
          <w:tcPr>
            <w:tcW w:w="100" w:type="dxa"/>
            <w:vAlign w:val="bottom"/>
          </w:tcPr>
          <w:p>
            <w:pPr>
              <w:spacing w:after="0"/>
              <w:rPr>
                <w:sz w:val="13"/>
                <w:szCs w:val="13"/>
                <w:color w:val="auto"/>
              </w:rPr>
            </w:pPr>
          </w:p>
        </w:tc>
        <w:tc>
          <w:tcPr>
            <w:tcW w:w="1040" w:type="dxa"/>
            <w:vAlign w:val="bottom"/>
            <w:gridSpan w:val="2"/>
          </w:tcPr>
          <w:p>
            <w:pPr>
              <w:jc w:val="center"/>
              <w:ind w:right="320"/>
              <w:spacing w:after="0"/>
              <w:rPr>
                <w:sz w:val="20"/>
                <w:szCs w:val="20"/>
                <w:color w:val="auto"/>
              </w:rPr>
            </w:pPr>
            <w:r>
              <w:rPr>
                <w:rFonts w:ascii="Times New Roman" w:cs="Times New Roman" w:eastAsia="Times New Roman" w:hAnsi="Times New Roman"/>
                <w:sz w:val="12"/>
                <w:szCs w:val="12"/>
                <w:color w:val="auto"/>
              </w:rPr>
              <w:t>Feb 28, 2026</w:t>
            </w:r>
          </w:p>
        </w:tc>
        <w:tc>
          <w:tcPr>
            <w:tcW w:w="80" w:type="dxa"/>
            <w:vAlign w:val="bottom"/>
          </w:tcPr>
          <w:p>
            <w:pPr>
              <w:spacing w:after="0"/>
              <w:rPr>
                <w:sz w:val="13"/>
                <w:szCs w:val="13"/>
                <w:color w:val="auto"/>
              </w:rPr>
            </w:pPr>
          </w:p>
        </w:tc>
        <w:tc>
          <w:tcPr>
            <w:tcW w:w="1060" w:type="dxa"/>
            <w:vAlign w:val="bottom"/>
            <w:gridSpan w:val="2"/>
          </w:tcPr>
          <w:p>
            <w:pPr>
              <w:jc w:val="center"/>
              <w:ind w:right="300"/>
              <w:spacing w:after="0"/>
              <w:rPr>
                <w:sz w:val="20"/>
                <w:szCs w:val="20"/>
                <w:color w:val="auto"/>
              </w:rPr>
            </w:pPr>
            <w:r>
              <w:rPr>
                <w:rFonts w:ascii="Times New Roman" w:cs="Times New Roman" w:eastAsia="Times New Roman" w:hAnsi="Times New Roman"/>
                <w:sz w:val="12"/>
                <w:szCs w:val="12"/>
                <w:color w:val="auto"/>
              </w:rPr>
              <w:t>Feb 28, 2025</w:t>
            </w:r>
          </w:p>
        </w:tc>
        <w:tc>
          <w:tcPr>
            <w:tcW w:w="80" w:type="dxa"/>
            <w:vAlign w:val="bottom"/>
          </w:tcPr>
          <w:p>
            <w:pPr>
              <w:spacing w:after="0"/>
              <w:rPr>
                <w:sz w:val="13"/>
                <w:szCs w:val="13"/>
                <w:color w:val="auto"/>
              </w:rPr>
            </w:pPr>
          </w:p>
        </w:tc>
        <w:tc>
          <w:tcPr>
            <w:tcW w:w="1060" w:type="dxa"/>
            <w:vAlign w:val="bottom"/>
            <w:gridSpan w:val="2"/>
          </w:tcPr>
          <w:p>
            <w:pPr>
              <w:jc w:val="center"/>
              <w:ind w:right="300"/>
              <w:spacing w:after="0"/>
              <w:rPr>
                <w:sz w:val="20"/>
                <w:szCs w:val="20"/>
                <w:color w:val="auto"/>
              </w:rPr>
            </w:pPr>
            <w:r>
              <w:rPr>
                <w:rFonts w:ascii="Times New Roman" w:cs="Times New Roman" w:eastAsia="Times New Roman" w:hAnsi="Times New Roman"/>
                <w:sz w:val="12"/>
                <w:szCs w:val="12"/>
                <w:color w:val="auto"/>
              </w:rPr>
              <w:t>Feb 28, 2025</w:t>
            </w:r>
          </w:p>
        </w:tc>
        <w:tc>
          <w:tcPr>
            <w:tcW w:w="100" w:type="dxa"/>
            <w:vAlign w:val="bottom"/>
          </w:tcPr>
          <w:p>
            <w:pPr>
              <w:spacing w:after="0"/>
              <w:rPr>
                <w:sz w:val="13"/>
                <w:szCs w:val="13"/>
                <w:color w:val="auto"/>
              </w:rPr>
            </w:pPr>
          </w:p>
        </w:tc>
        <w:tc>
          <w:tcPr>
            <w:tcW w:w="1000" w:type="dxa"/>
            <w:vAlign w:val="bottom"/>
            <w:gridSpan w:val="2"/>
          </w:tcPr>
          <w:p>
            <w:pPr>
              <w:jc w:val="center"/>
              <w:ind w:right="300"/>
              <w:spacing w:after="0"/>
              <w:rPr>
                <w:sz w:val="20"/>
                <w:szCs w:val="20"/>
                <w:color w:val="auto"/>
              </w:rPr>
            </w:pPr>
            <w:r>
              <w:rPr>
                <w:rFonts w:ascii="Times New Roman" w:cs="Times New Roman" w:eastAsia="Times New Roman" w:hAnsi="Times New Roman"/>
                <w:sz w:val="12"/>
                <w:szCs w:val="12"/>
                <w:color w:val="auto"/>
                <w:w w:val="98"/>
              </w:rPr>
              <w:t>Feb 28, 2025</w:t>
            </w:r>
          </w:p>
        </w:tc>
        <w:tc>
          <w:tcPr>
            <w:tcW w:w="1120" w:type="dxa"/>
            <w:vAlign w:val="bottom"/>
            <w:gridSpan w:val="2"/>
          </w:tcPr>
          <w:p>
            <w:pPr>
              <w:jc w:val="right"/>
              <w:ind w:right="420"/>
              <w:spacing w:after="0"/>
              <w:rPr>
                <w:sz w:val="20"/>
                <w:szCs w:val="20"/>
                <w:color w:val="auto"/>
              </w:rPr>
            </w:pPr>
            <w:r>
              <w:rPr>
                <w:rFonts w:ascii="Times New Roman" w:cs="Times New Roman" w:eastAsia="Times New Roman" w:hAnsi="Times New Roman"/>
                <w:sz w:val="12"/>
                <w:szCs w:val="12"/>
                <w:color w:val="auto"/>
              </w:rPr>
              <w:t>% Growth</w:t>
            </w:r>
          </w:p>
        </w:tc>
        <w:tc>
          <w:tcPr>
            <w:tcW w:w="1000" w:type="dxa"/>
            <w:vAlign w:val="bottom"/>
            <w:gridSpan w:val="2"/>
          </w:tcPr>
          <w:p>
            <w:pPr>
              <w:jc w:val="right"/>
              <w:ind w:right="300"/>
              <w:spacing w:after="0"/>
              <w:rPr>
                <w:sz w:val="20"/>
                <w:szCs w:val="20"/>
                <w:color w:val="auto"/>
              </w:rPr>
            </w:pPr>
            <w:r>
              <w:rPr>
                <w:rFonts w:ascii="Times New Roman" w:cs="Times New Roman" w:eastAsia="Times New Roman" w:hAnsi="Times New Roman"/>
                <w:sz w:val="12"/>
                <w:szCs w:val="12"/>
                <w:color w:val="auto"/>
              </w:rPr>
              <w:t>% Growth</w:t>
            </w:r>
          </w:p>
        </w:tc>
        <w:tc>
          <w:tcPr>
            <w:tcW w:w="0" w:type="dxa"/>
            <w:vAlign w:val="bottom"/>
          </w:tcPr>
          <w:p>
            <w:pPr>
              <w:spacing w:after="0"/>
              <w:rPr>
                <w:sz w:val="1"/>
                <w:szCs w:val="1"/>
                <w:color w:val="auto"/>
              </w:rPr>
            </w:pPr>
          </w:p>
        </w:tc>
      </w:tr>
      <w:tr>
        <w:trPr>
          <w:trHeight w:val="153"/>
        </w:trPr>
        <w:tc>
          <w:tcPr>
            <w:tcW w:w="2380" w:type="dxa"/>
            <w:vAlign w:val="bottom"/>
            <w:vMerge w:val="restart"/>
          </w:tcPr>
          <w:p>
            <w:pPr>
              <w:spacing w:after="0"/>
              <w:rPr>
                <w:sz w:val="20"/>
                <w:szCs w:val="20"/>
                <w:color w:val="auto"/>
              </w:rPr>
            </w:pPr>
            <w:r>
              <w:rPr>
                <w:rFonts w:ascii="Times New Roman" w:cs="Times New Roman" w:eastAsia="Times New Roman" w:hAnsi="Times New Roman"/>
                <w:sz w:val="12"/>
                <w:szCs w:val="12"/>
                <w:color w:val="auto"/>
              </w:rPr>
              <w:t>Net Sales</w:t>
            </w:r>
          </w:p>
        </w:tc>
        <w:tc>
          <w:tcPr>
            <w:tcW w:w="10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(unaudited)</w:t>
            </w:r>
          </w:p>
        </w:tc>
        <w:tc>
          <w:tcPr>
            <w:tcW w:w="24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jc w:val="center"/>
              <w:ind w:right="21"/>
              <w:spacing w:after="0"/>
              <w:rPr>
                <w:sz w:val="20"/>
                <w:szCs w:val="20"/>
                <w:color w:val="auto"/>
              </w:rPr>
            </w:pPr>
            <w:r>
              <w:rPr>
                <w:rFonts w:ascii="Times New Roman" w:cs="Times New Roman" w:eastAsia="Times New Roman" w:hAnsi="Times New Roman"/>
                <w:sz w:val="12"/>
                <w:szCs w:val="12"/>
                <w:color w:val="auto"/>
              </w:rPr>
              <w:t>(unaudited)</w:t>
            </w:r>
          </w:p>
        </w:tc>
        <w:tc>
          <w:tcPr>
            <w:tcW w:w="2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3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3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Med Tech</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108,196</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108,196</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90,863</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90,863</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19.1%</w:t>
            </w: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19.1%</w:t>
            </w:r>
          </w:p>
        </w:tc>
        <w:tc>
          <w:tcPr>
            <w:tcW w:w="0" w:type="dxa"/>
            <w:vAlign w:val="bottom"/>
          </w:tcPr>
          <w:p>
            <w:pPr>
              <w:spacing w:after="0"/>
              <w:rPr>
                <w:sz w:val="1"/>
                <w:szCs w:val="1"/>
                <w:color w:val="auto"/>
              </w:rPr>
            </w:pPr>
          </w:p>
        </w:tc>
      </w:tr>
      <w:tr>
        <w:trPr>
          <w:trHeight w:val="144"/>
        </w:trPr>
        <w:tc>
          <w:tcPr>
            <w:tcW w:w="238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Med Device</w:t>
            </w:r>
          </w:p>
        </w:tc>
        <w:tc>
          <w:tcPr>
            <w:tcW w:w="1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125,371</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(2)</w:t>
            </w:r>
          </w:p>
        </w:tc>
        <w:tc>
          <w:tcPr>
            <w:tcW w:w="100" w:type="dxa"/>
            <w:vAlign w:val="bottom"/>
          </w:tcPr>
          <w:p>
            <w:pPr>
              <w:spacing w:after="0"/>
              <w:rPr>
                <w:sz w:val="12"/>
                <w:szCs w:val="12"/>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125,369</w:t>
            </w:r>
          </w:p>
        </w:tc>
        <w:tc>
          <w:tcPr>
            <w:tcW w:w="80" w:type="dxa"/>
            <w:vAlign w:val="bottom"/>
          </w:tcPr>
          <w:p>
            <w:pPr>
              <w:spacing w:after="0"/>
              <w:rPr>
                <w:sz w:val="12"/>
                <w:szCs w:val="12"/>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121,477</w:t>
            </w:r>
          </w:p>
        </w:tc>
        <w:tc>
          <w:tcPr>
            <w:tcW w:w="80" w:type="dxa"/>
            <w:vAlign w:val="bottom"/>
          </w:tcPr>
          <w:p>
            <w:pPr>
              <w:spacing w:after="0"/>
              <w:rPr>
                <w:sz w:val="12"/>
                <w:szCs w:val="12"/>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188</w:t>
            </w:r>
          </w:p>
        </w:tc>
        <w:tc>
          <w:tcPr>
            <w:tcW w:w="100" w:type="dxa"/>
            <w:vAlign w:val="bottom"/>
          </w:tcPr>
          <w:p>
            <w:pPr>
              <w:spacing w:after="0"/>
              <w:rPr>
                <w:sz w:val="12"/>
                <w:szCs w:val="12"/>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121,665</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3.2%</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3.0%</w:t>
            </w:r>
          </w:p>
        </w:tc>
        <w:tc>
          <w:tcPr>
            <w:tcW w:w="0" w:type="dxa"/>
            <w:vAlign w:val="bottom"/>
          </w:tcPr>
          <w:p>
            <w:pPr>
              <w:spacing w:after="0"/>
              <w:rPr>
                <w:sz w:val="1"/>
                <w:szCs w:val="1"/>
                <w:color w:val="auto"/>
              </w:rPr>
            </w:pPr>
          </w:p>
        </w:tc>
      </w:tr>
      <w:tr>
        <w:trPr>
          <w:trHeight w:val="20"/>
        </w:trPr>
        <w:tc>
          <w:tcPr>
            <w:tcW w:w="2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38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233,567</w:t>
            </w:r>
          </w:p>
        </w:tc>
        <w:tc>
          <w:tcPr>
            <w:tcW w:w="240" w:type="dxa"/>
            <w:vAlign w:val="bottom"/>
            <w:shd w:val="clear" w:color="auto" w:fill="CCEEFF"/>
          </w:tcPr>
          <w:p>
            <w:pPr>
              <w:spacing w:after="0"/>
              <w:rPr>
                <w:sz w:val="15"/>
                <w:szCs w:val="15"/>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233,565</w:t>
            </w: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212,340</w:t>
            </w: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188</w:t>
            </w: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212,528</w:t>
            </w:r>
          </w:p>
        </w:tc>
        <w:tc>
          <w:tcPr>
            <w:tcW w:w="20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10.0%</w:t>
            </w: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9.9%</w:t>
            </w:r>
          </w:p>
        </w:tc>
        <w:tc>
          <w:tcPr>
            <w:tcW w:w="0" w:type="dxa"/>
            <w:vAlign w:val="bottom"/>
          </w:tcPr>
          <w:p>
            <w:pPr>
              <w:spacing w:after="0"/>
              <w:rPr>
                <w:sz w:val="1"/>
                <w:szCs w:val="1"/>
                <w:color w:val="auto"/>
              </w:rPr>
            </w:pPr>
          </w:p>
        </w:tc>
      </w:tr>
      <w:tr>
        <w:trPr>
          <w:trHeight w:val="120"/>
        </w:trPr>
        <w:tc>
          <w:tcPr>
            <w:tcW w:w="2380" w:type="dxa"/>
            <w:vAlign w:val="bottom"/>
            <w:tcBorders>
              <w:top w:val="single" w:sz="8" w:color="CCEEFF"/>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240" w:type="dxa"/>
            <w:vAlign w:val="bottom"/>
            <w:tcBorders>
              <w:top w:val="single" w:sz="8" w:color="CCEEFF"/>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240" w:type="dxa"/>
            <w:vAlign w:val="bottom"/>
            <w:tcBorders>
              <w:top w:val="single" w:sz="8" w:color="CCEEFF"/>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220" w:type="dxa"/>
            <w:vAlign w:val="bottom"/>
            <w:tcBorders>
              <w:top w:val="single" w:sz="8" w:color="CCEEFF"/>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220" w:type="dxa"/>
            <w:vAlign w:val="bottom"/>
            <w:tcBorders>
              <w:top w:val="single" w:sz="8" w:color="CCEEFF"/>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220" w:type="dxa"/>
            <w:vAlign w:val="bottom"/>
            <w:tcBorders>
              <w:top w:val="single" w:sz="8" w:color="CCEEFF"/>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200" w:type="dxa"/>
            <w:vAlign w:val="bottom"/>
            <w:tcBorders>
              <w:top w:val="single" w:sz="8" w:color="CCEEFF"/>
            </w:tcBorders>
          </w:tcPr>
          <w:p>
            <w:pPr>
              <w:spacing w:after="0"/>
              <w:rPr>
                <w:sz w:val="10"/>
                <w:szCs w:val="10"/>
                <w:color w:val="auto"/>
              </w:rPr>
            </w:pPr>
          </w:p>
        </w:tc>
        <w:tc>
          <w:tcPr>
            <w:tcW w:w="900" w:type="dxa"/>
            <w:vAlign w:val="bottom"/>
            <w:tcBorders>
              <w:top w:val="single" w:sz="8" w:color="CCEEFF"/>
            </w:tcBorders>
          </w:tcPr>
          <w:p>
            <w:pPr>
              <w:spacing w:after="0"/>
              <w:rPr>
                <w:sz w:val="10"/>
                <w:szCs w:val="10"/>
                <w:color w:val="auto"/>
              </w:rPr>
            </w:pPr>
          </w:p>
        </w:tc>
        <w:tc>
          <w:tcPr>
            <w:tcW w:w="220" w:type="dxa"/>
            <w:vAlign w:val="bottom"/>
            <w:tcBorders>
              <w:top w:val="single" w:sz="8" w:color="CCEEFF"/>
            </w:tcBorders>
          </w:tcPr>
          <w:p>
            <w:pPr>
              <w:spacing w:after="0"/>
              <w:rPr>
                <w:sz w:val="10"/>
                <w:szCs w:val="10"/>
                <w:color w:val="auto"/>
              </w:rPr>
            </w:pPr>
          </w:p>
        </w:tc>
        <w:tc>
          <w:tcPr>
            <w:tcW w:w="880" w:type="dxa"/>
            <w:vAlign w:val="bottom"/>
            <w:tcBorders>
              <w:top w:val="single" w:sz="8" w:color="CCEEFF"/>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Net Sales</w:t>
            </w: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38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United States</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201,328</w:t>
            </w:r>
          </w:p>
        </w:tc>
        <w:tc>
          <w:tcPr>
            <w:tcW w:w="24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(2)</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201,326</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183,499</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14</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183,513</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9.7%</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9.7%</w:t>
            </w:r>
          </w:p>
        </w:tc>
        <w:tc>
          <w:tcPr>
            <w:tcW w:w="0" w:type="dxa"/>
            <w:vAlign w:val="bottom"/>
          </w:tcPr>
          <w:p>
            <w:pPr>
              <w:spacing w:after="0"/>
              <w:rPr>
                <w:sz w:val="1"/>
                <w:szCs w:val="1"/>
                <w:color w:val="auto"/>
              </w:rPr>
            </w:pPr>
          </w:p>
        </w:tc>
      </w:tr>
      <w:tr>
        <w:trPr>
          <w:trHeight w:val="144"/>
        </w:trPr>
        <w:tc>
          <w:tcPr>
            <w:tcW w:w="23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International</w:t>
            </w:r>
          </w:p>
        </w:tc>
        <w:tc>
          <w:tcPr>
            <w:tcW w:w="1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32,239</w:t>
            </w:r>
          </w:p>
        </w:tc>
        <w:tc>
          <w:tcPr>
            <w:tcW w:w="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32,239</w:t>
            </w:r>
          </w:p>
        </w:tc>
        <w:tc>
          <w:tcPr>
            <w:tcW w:w="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28,841</w:t>
            </w:r>
          </w:p>
        </w:tc>
        <w:tc>
          <w:tcPr>
            <w:tcW w:w="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174</w:t>
            </w:r>
          </w:p>
        </w:tc>
        <w:tc>
          <w:tcPr>
            <w:tcW w:w="1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29,015</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11.8%</w:t>
            </w: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11.1%</w:t>
            </w:r>
          </w:p>
        </w:tc>
        <w:tc>
          <w:tcPr>
            <w:tcW w:w="0" w:type="dxa"/>
            <w:vAlign w:val="bottom"/>
          </w:tcPr>
          <w:p>
            <w:pPr>
              <w:spacing w:after="0"/>
              <w:rPr>
                <w:sz w:val="1"/>
                <w:szCs w:val="1"/>
                <w:color w:val="auto"/>
              </w:rPr>
            </w:pPr>
          </w:p>
        </w:tc>
      </w:tr>
      <w:tr>
        <w:trPr>
          <w:trHeight w:val="20"/>
        </w:trPr>
        <w:tc>
          <w:tcPr>
            <w:tcW w:w="23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9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38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233,567</w:t>
            </w:r>
          </w:p>
        </w:tc>
        <w:tc>
          <w:tcPr>
            <w:tcW w:w="24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(2)</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233,565</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212,340</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188</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212,528</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10.0%</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9.9%</w:t>
            </w:r>
          </w:p>
        </w:tc>
        <w:tc>
          <w:tcPr>
            <w:tcW w:w="0" w:type="dxa"/>
            <w:vAlign w:val="bottom"/>
          </w:tcPr>
          <w:p>
            <w:pPr>
              <w:spacing w:after="0"/>
              <w:rPr>
                <w:sz w:val="1"/>
                <w:szCs w:val="1"/>
                <w:color w:val="auto"/>
              </w:rPr>
            </w:pPr>
          </w:p>
        </w:tc>
      </w:tr>
      <w:tr>
        <w:trPr>
          <w:trHeight w:val="20"/>
        </w:trPr>
        <w:tc>
          <w:tcPr>
            <w:tcW w:w="2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3" w:lineRule="exact"/>
        <w:rPr>
          <w:sz w:val="20"/>
          <w:szCs w:val="20"/>
          <w:color w:val="auto"/>
        </w:rPr>
      </w:pPr>
    </w:p>
    <w:p>
      <w:pPr>
        <w:ind w:left="8" w:right="260" w:hanging="8"/>
        <w:spacing w:after="0" w:line="279" w:lineRule="auto"/>
        <w:tabs>
          <w:tab w:leader="none" w:pos="208" w:val="left"/>
        </w:tabs>
        <w:numPr>
          <w:ilvl w:val="0"/>
          <w:numId w:val="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Reflects the Company's US GAAP consolidated financial statements before pro forma adjustments related to the sale of the Dialysis and BioSentry Businesses on June 8, 2023, the sale of the PICCs and Midlines Businesses on February 15, 2024 and the discontinuation of the RadioFrequency Ablation and Syntrax products ("the Businesses") as of February 29, 2024, for the nine months ended February 28, 2025.</w:t>
      </w:r>
    </w:p>
    <w:p>
      <w:pPr>
        <w:spacing w:after="0" w:line="111" w:lineRule="exact"/>
        <w:rPr>
          <w:rFonts w:ascii="Times New Roman" w:cs="Times New Roman" w:eastAsia="Times New Roman" w:hAnsi="Times New Roman"/>
          <w:sz w:val="12"/>
          <w:szCs w:val="12"/>
          <w:color w:val="auto"/>
        </w:rPr>
      </w:pPr>
    </w:p>
    <w:p>
      <w:pPr>
        <w:ind w:left="168" w:hanging="168"/>
        <w:spacing w:after="0"/>
        <w:tabs>
          <w:tab w:leader="none" w:pos="168" w:val="left"/>
        </w:tabs>
        <w:numPr>
          <w:ilvl w:val="0"/>
          <w:numId w:val="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Reflects the elimination of revenues and expenses representing the operating results from the sales and discontinuation of the Businesses.</w:t>
      </w:r>
    </w:p>
    <w:p>
      <w:pPr>
        <w:spacing w:after="0" w:line="146" w:lineRule="exact"/>
        <w:rPr>
          <w:sz w:val="20"/>
          <w:szCs w:val="20"/>
          <w:color w:val="auto"/>
        </w:rPr>
      </w:pPr>
    </w:p>
    <w:tbl>
      <w:tblPr>
        <w:tblLayout w:type="fixed"/>
        <w:tblInd w:w="8" w:type="dxa"/>
        <w:tblCellMar>
          <w:top w:w="0" w:type="dxa"/>
          <w:left w:w="0" w:type="dxa"/>
          <w:bottom w:w="0" w:type="dxa"/>
          <w:right w:w="0" w:type="dxa"/>
        </w:tblCellMar>
      </w:tblPr>
      <w:tr>
        <w:trPr>
          <w:trHeight w:val="159"/>
        </w:trPr>
        <w:tc>
          <w:tcPr>
            <w:tcW w:w="2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360" w:type="dxa"/>
            <w:vAlign w:val="bottom"/>
            <w:gridSpan w:val="8"/>
          </w:tcPr>
          <w:p>
            <w:pPr>
              <w:jc w:val="right"/>
              <w:ind w:right="60"/>
              <w:spacing w:after="0"/>
              <w:rPr>
                <w:sz w:val="20"/>
                <w:szCs w:val="20"/>
                <w:color w:val="auto"/>
              </w:rPr>
            </w:pPr>
            <w:r>
              <w:rPr>
                <w:rFonts w:ascii="Times New Roman" w:cs="Times New Roman" w:eastAsia="Times New Roman" w:hAnsi="Times New Roman"/>
                <w:sz w:val="12"/>
                <w:szCs w:val="12"/>
                <w:b w:val="1"/>
                <w:bCs w:val="1"/>
                <w:color w:val="auto"/>
              </w:rPr>
              <w:t>GROSS MARGIN BY PRODUCT CATEGORY</w:t>
            </w: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88"/>
        </w:trPr>
        <w:tc>
          <w:tcPr>
            <w:tcW w:w="2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80" w:type="dxa"/>
            <w:vAlign w:val="bottom"/>
            <w:gridSpan w:val="5"/>
          </w:tcPr>
          <w:p>
            <w:pPr>
              <w:jc w:val="right"/>
              <w:ind w:right="960"/>
              <w:spacing w:after="0"/>
              <w:rPr>
                <w:sz w:val="20"/>
                <w:szCs w:val="20"/>
                <w:color w:val="auto"/>
              </w:rPr>
            </w:pPr>
            <w:r>
              <w:rPr>
                <w:rFonts w:ascii="Times New Roman" w:cs="Times New Roman" w:eastAsia="Times New Roman" w:hAnsi="Times New Roman"/>
                <w:sz w:val="12"/>
                <w:szCs w:val="12"/>
                <w:color w:val="auto"/>
              </w:rPr>
              <w:t>(in thousands)</w:t>
            </w: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88"/>
        </w:trPr>
        <w:tc>
          <w:tcPr>
            <w:tcW w:w="23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gridSpan w:val="5"/>
          </w:tcPr>
          <w:p>
            <w:pPr>
              <w:ind w:left="420"/>
              <w:spacing w:after="0"/>
              <w:rPr>
                <w:sz w:val="20"/>
                <w:szCs w:val="20"/>
                <w:color w:val="auto"/>
              </w:rPr>
            </w:pPr>
            <w:r>
              <w:rPr>
                <w:rFonts w:ascii="Times New Roman" w:cs="Times New Roman" w:eastAsia="Times New Roman" w:hAnsi="Times New Roman"/>
                <w:sz w:val="12"/>
                <w:szCs w:val="12"/>
                <w:color w:val="auto"/>
              </w:rPr>
              <w:t>Nine Months Ended</w:t>
            </w: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24"/>
        </w:trPr>
        <w:tc>
          <w:tcPr>
            <w:tcW w:w="2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80" w:type="dxa"/>
            <w:vAlign w:val="bottom"/>
            <w:gridSpan w:val="2"/>
          </w:tcPr>
          <w:p>
            <w:pPr>
              <w:jc w:val="center"/>
              <w:ind w:right="300"/>
              <w:spacing w:after="0" w:line="124" w:lineRule="exact"/>
              <w:rPr>
                <w:sz w:val="20"/>
                <w:szCs w:val="20"/>
                <w:color w:val="auto"/>
              </w:rPr>
            </w:pPr>
            <w:r>
              <w:rPr>
                <w:rFonts w:ascii="Times New Roman" w:cs="Times New Roman" w:eastAsia="Times New Roman" w:hAnsi="Times New Roman"/>
                <w:sz w:val="12"/>
                <w:szCs w:val="12"/>
                <w:color w:val="auto"/>
                <w:w w:val="97"/>
              </w:rPr>
              <w:t>Pro Forma</w:t>
            </w: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60" w:type="dxa"/>
            <w:vAlign w:val="bottom"/>
            <w:gridSpan w:val="2"/>
          </w:tcPr>
          <w:p>
            <w:pPr>
              <w:jc w:val="center"/>
              <w:ind w:right="300"/>
              <w:spacing w:after="0" w:line="124" w:lineRule="exact"/>
              <w:rPr>
                <w:sz w:val="20"/>
                <w:szCs w:val="20"/>
                <w:color w:val="auto"/>
              </w:rPr>
            </w:pPr>
            <w:r>
              <w:rPr>
                <w:rFonts w:ascii="Times New Roman" w:cs="Times New Roman" w:eastAsia="Times New Roman" w:hAnsi="Times New Roman"/>
                <w:sz w:val="12"/>
                <w:szCs w:val="12"/>
                <w:color w:val="auto"/>
              </w:rPr>
              <w:t>Pro Forma</w:t>
            </w: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51"/>
        </w:trPr>
        <w:tc>
          <w:tcPr>
            <w:tcW w:w="2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gridSpan w:val="2"/>
          </w:tcPr>
          <w:p>
            <w:pPr>
              <w:jc w:val="center"/>
              <w:ind w:right="280"/>
              <w:spacing w:after="0" w:line="151" w:lineRule="exact"/>
              <w:rPr>
                <w:sz w:val="20"/>
                <w:szCs w:val="20"/>
                <w:color w:val="auto"/>
              </w:rPr>
            </w:pPr>
            <w:r>
              <w:rPr>
                <w:rFonts w:ascii="Times New Roman" w:cs="Times New Roman" w:eastAsia="Times New Roman" w:hAnsi="Times New Roman"/>
                <w:sz w:val="11"/>
                <w:szCs w:val="11"/>
                <w:color w:val="auto"/>
              </w:rPr>
              <w:t xml:space="preserve">Adjustments </w:t>
            </w:r>
            <w:r>
              <w:rPr>
                <w:rFonts w:ascii="Times New Roman" w:cs="Times New Roman" w:eastAsia="Times New Roman" w:hAnsi="Times New Roman"/>
                <w:sz w:val="17"/>
                <w:szCs w:val="17"/>
                <w:color w:val="auto"/>
                <w:vertAlign w:val="superscript"/>
              </w:rPr>
              <w:t>(2)</w:t>
            </w:r>
          </w:p>
        </w:tc>
        <w:tc>
          <w:tcPr>
            <w:tcW w:w="100" w:type="dxa"/>
            <w:vAlign w:val="bottom"/>
          </w:tcPr>
          <w:p>
            <w:pPr>
              <w:spacing w:after="0"/>
              <w:rPr>
                <w:sz w:val="13"/>
                <w:szCs w:val="13"/>
                <w:color w:val="auto"/>
              </w:rPr>
            </w:pPr>
          </w:p>
        </w:tc>
        <w:tc>
          <w:tcPr>
            <w:tcW w:w="1040" w:type="dxa"/>
            <w:vAlign w:val="bottom"/>
            <w:gridSpan w:val="2"/>
          </w:tcPr>
          <w:p>
            <w:pPr>
              <w:jc w:val="right"/>
              <w:ind w:right="420"/>
              <w:spacing w:after="0"/>
              <w:rPr>
                <w:sz w:val="20"/>
                <w:szCs w:val="20"/>
                <w:color w:val="auto"/>
              </w:rPr>
            </w:pPr>
            <w:r>
              <w:rPr>
                <w:rFonts w:ascii="Times New Roman" w:cs="Times New Roman" w:eastAsia="Times New Roman" w:hAnsi="Times New Roman"/>
                <w:sz w:val="12"/>
                <w:szCs w:val="12"/>
                <w:color w:val="auto"/>
              </w:rPr>
              <w:t>Pro Forma</w:t>
            </w:r>
          </w:p>
        </w:tc>
        <w:tc>
          <w:tcPr>
            <w:tcW w:w="80" w:type="dxa"/>
            <w:vAlign w:val="bottom"/>
          </w:tcPr>
          <w:p>
            <w:pPr>
              <w:spacing w:after="0"/>
              <w:rPr>
                <w:sz w:val="13"/>
                <w:szCs w:val="13"/>
                <w:color w:val="auto"/>
              </w:rPr>
            </w:pPr>
          </w:p>
        </w:tc>
        <w:tc>
          <w:tcPr>
            <w:tcW w:w="1060" w:type="dxa"/>
            <w:vAlign w:val="bottom"/>
            <w:gridSpan w:val="2"/>
          </w:tcPr>
          <w:p>
            <w:pPr>
              <w:jc w:val="right"/>
              <w:ind w:right="300"/>
              <w:spacing w:after="0" w:line="151" w:lineRule="exact"/>
              <w:rPr>
                <w:sz w:val="20"/>
                <w:szCs w:val="20"/>
                <w:color w:val="auto"/>
              </w:rPr>
            </w:pPr>
            <w:r>
              <w:rPr>
                <w:rFonts w:ascii="Times New Roman" w:cs="Times New Roman" w:eastAsia="Times New Roman" w:hAnsi="Times New Roman"/>
                <w:sz w:val="11"/>
                <w:szCs w:val="11"/>
                <w:color w:val="auto"/>
              </w:rPr>
              <w:t xml:space="preserve">As Reported </w:t>
            </w:r>
            <w:r>
              <w:rPr>
                <w:rFonts w:ascii="Times New Roman" w:cs="Times New Roman" w:eastAsia="Times New Roman" w:hAnsi="Times New Roman"/>
                <w:sz w:val="17"/>
                <w:szCs w:val="17"/>
                <w:color w:val="auto"/>
                <w:vertAlign w:val="superscript"/>
              </w:rPr>
              <w:t>(1)</w:t>
            </w:r>
          </w:p>
        </w:tc>
        <w:tc>
          <w:tcPr>
            <w:tcW w:w="80" w:type="dxa"/>
            <w:vAlign w:val="bottom"/>
          </w:tcPr>
          <w:p>
            <w:pPr>
              <w:spacing w:after="0"/>
              <w:rPr>
                <w:sz w:val="13"/>
                <w:szCs w:val="13"/>
                <w:color w:val="auto"/>
              </w:rPr>
            </w:pPr>
          </w:p>
        </w:tc>
        <w:tc>
          <w:tcPr>
            <w:tcW w:w="1060" w:type="dxa"/>
            <w:vAlign w:val="bottom"/>
            <w:gridSpan w:val="2"/>
          </w:tcPr>
          <w:p>
            <w:pPr>
              <w:jc w:val="center"/>
              <w:ind w:right="300"/>
              <w:spacing w:after="0" w:line="151" w:lineRule="exact"/>
              <w:rPr>
                <w:sz w:val="20"/>
                <w:szCs w:val="20"/>
                <w:color w:val="auto"/>
              </w:rPr>
            </w:pPr>
            <w:r>
              <w:rPr>
                <w:rFonts w:ascii="Times New Roman" w:cs="Times New Roman" w:eastAsia="Times New Roman" w:hAnsi="Times New Roman"/>
                <w:sz w:val="11"/>
                <w:szCs w:val="11"/>
                <w:color w:val="auto"/>
              </w:rPr>
              <w:t xml:space="preserve">Adjustments </w:t>
            </w:r>
            <w:r>
              <w:rPr>
                <w:rFonts w:ascii="Times New Roman" w:cs="Times New Roman" w:eastAsia="Times New Roman" w:hAnsi="Times New Roman"/>
                <w:sz w:val="17"/>
                <w:szCs w:val="17"/>
                <w:color w:val="auto"/>
                <w:vertAlign w:val="superscript"/>
              </w:rPr>
              <w:t>(2)</w:t>
            </w:r>
          </w:p>
        </w:tc>
        <w:tc>
          <w:tcPr>
            <w:tcW w:w="10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Times New Roman" w:cs="Times New Roman" w:eastAsia="Times New Roman" w:hAnsi="Times New Roman"/>
                <w:sz w:val="12"/>
                <w:szCs w:val="12"/>
                <w:color w:val="auto"/>
              </w:rPr>
              <w:t>Pro Forma</w:t>
            </w:r>
          </w:p>
        </w:tc>
        <w:tc>
          <w:tcPr>
            <w:tcW w:w="1120" w:type="dxa"/>
            <w:vAlign w:val="bottom"/>
            <w:gridSpan w:val="2"/>
          </w:tcPr>
          <w:p>
            <w:pPr>
              <w:jc w:val="right"/>
              <w:ind w:right="500"/>
              <w:spacing w:after="0"/>
              <w:rPr>
                <w:sz w:val="20"/>
                <w:szCs w:val="20"/>
                <w:color w:val="auto"/>
              </w:rPr>
            </w:pPr>
            <w:r>
              <w:rPr>
                <w:rFonts w:ascii="Times New Roman" w:cs="Times New Roman" w:eastAsia="Times New Roman" w:hAnsi="Times New Roman"/>
                <w:sz w:val="12"/>
                <w:szCs w:val="12"/>
                <w:color w:val="auto"/>
              </w:rPr>
              <w:t>Actual</w:t>
            </w:r>
          </w:p>
        </w:tc>
        <w:tc>
          <w:tcPr>
            <w:tcW w:w="1000" w:type="dxa"/>
            <w:vAlign w:val="bottom"/>
            <w:gridSpan w:val="2"/>
          </w:tcPr>
          <w:p>
            <w:pPr>
              <w:jc w:val="right"/>
              <w:ind w:right="300"/>
              <w:spacing w:after="0"/>
              <w:rPr>
                <w:sz w:val="20"/>
                <w:szCs w:val="20"/>
                <w:color w:val="auto"/>
              </w:rPr>
            </w:pPr>
            <w:r>
              <w:rPr>
                <w:rFonts w:ascii="Times New Roman" w:cs="Times New Roman" w:eastAsia="Times New Roman" w:hAnsi="Times New Roman"/>
                <w:sz w:val="12"/>
                <w:szCs w:val="12"/>
                <w:color w:val="auto"/>
              </w:rPr>
              <w:t>Pro Forma</w:t>
            </w:r>
          </w:p>
        </w:tc>
      </w:tr>
      <w:tr>
        <w:trPr>
          <w:trHeight w:val="155"/>
        </w:trPr>
        <w:tc>
          <w:tcPr>
            <w:tcW w:w="2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gridSpan w:val="2"/>
          </w:tcPr>
          <w:p>
            <w:pPr>
              <w:jc w:val="right"/>
              <w:ind w:right="380"/>
              <w:spacing w:after="0"/>
              <w:rPr>
                <w:sz w:val="20"/>
                <w:szCs w:val="20"/>
                <w:color w:val="auto"/>
              </w:rPr>
            </w:pPr>
            <w:r>
              <w:rPr>
                <w:rFonts w:ascii="Times New Roman" w:cs="Times New Roman" w:eastAsia="Times New Roman" w:hAnsi="Times New Roman"/>
                <w:sz w:val="12"/>
                <w:szCs w:val="12"/>
                <w:color w:val="auto"/>
              </w:rPr>
              <w:t>Feb 28, 2026</w:t>
            </w:r>
          </w:p>
        </w:tc>
        <w:tc>
          <w:tcPr>
            <w:tcW w:w="60" w:type="dxa"/>
            <w:vAlign w:val="bottom"/>
          </w:tcPr>
          <w:p>
            <w:pPr>
              <w:spacing w:after="0"/>
              <w:rPr>
                <w:sz w:val="13"/>
                <w:szCs w:val="13"/>
                <w:color w:val="auto"/>
              </w:rPr>
            </w:pPr>
          </w:p>
        </w:tc>
        <w:tc>
          <w:tcPr>
            <w:tcW w:w="1080" w:type="dxa"/>
            <w:vAlign w:val="bottom"/>
            <w:gridSpan w:val="2"/>
          </w:tcPr>
          <w:p>
            <w:pPr>
              <w:jc w:val="center"/>
              <w:ind w:right="300"/>
              <w:spacing w:after="0"/>
              <w:rPr>
                <w:sz w:val="20"/>
                <w:szCs w:val="20"/>
                <w:color w:val="auto"/>
              </w:rPr>
            </w:pPr>
            <w:r>
              <w:rPr>
                <w:rFonts w:ascii="Times New Roman" w:cs="Times New Roman" w:eastAsia="Times New Roman" w:hAnsi="Times New Roman"/>
                <w:sz w:val="12"/>
                <w:szCs w:val="12"/>
                <w:color w:val="auto"/>
                <w:w w:val="98"/>
              </w:rPr>
              <w:t>Feb 28, 2026</w:t>
            </w:r>
          </w:p>
        </w:tc>
        <w:tc>
          <w:tcPr>
            <w:tcW w:w="100" w:type="dxa"/>
            <w:vAlign w:val="bottom"/>
          </w:tcPr>
          <w:p>
            <w:pPr>
              <w:spacing w:after="0"/>
              <w:rPr>
                <w:sz w:val="13"/>
                <w:szCs w:val="13"/>
                <w:color w:val="auto"/>
              </w:rPr>
            </w:pPr>
          </w:p>
        </w:tc>
        <w:tc>
          <w:tcPr>
            <w:tcW w:w="1040" w:type="dxa"/>
            <w:vAlign w:val="bottom"/>
            <w:gridSpan w:val="2"/>
          </w:tcPr>
          <w:p>
            <w:pPr>
              <w:jc w:val="right"/>
              <w:ind w:right="360"/>
              <w:spacing w:after="0"/>
              <w:rPr>
                <w:sz w:val="20"/>
                <w:szCs w:val="20"/>
                <w:color w:val="auto"/>
              </w:rPr>
            </w:pPr>
            <w:r>
              <w:rPr>
                <w:rFonts w:ascii="Times New Roman" w:cs="Times New Roman" w:eastAsia="Times New Roman" w:hAnsi="Times New Roman"/>
                <w:sz w:val="12"/>
                <w:szCs w:val="12"/>
                <w:color w:val="auto"/>
              </w:rPr>
              <w:t>Feb 28, 2026</w:t>
            </w:r>
          </w:p>
        </w:tc>
        <w:tc>
          <w:tcPr>
            <w:tcW w:w="80" w:type="dxa"/>
            <w:vAlign w:val="bottom"/>
          </w:tcPr>
          <w:p>
            <w:pPr>
              <w:spacing w:after="0"/>
              <w:rPr>
                <w:sz w:val="13"/>
                <w:szCs w:val="13"/>
                <w:color w:val="auto"/>
              </w:rPr>
            </w:pPr>
          </w:p>
        </w:tc>
        <w:tc>
          <w:tcPr>
            <w:tcW w:w="1060" w:type="dxa"/>
            <w:vAlign w:val="bottom"/>
            <w:gridSpan w:val="2"/>
          </w:tcPr>
          <w:p>
            <w:pPr>
              <w:jc w:val="right"/>
              <w:ind w:right="360"/>
              <w:spacing w:after="0"/>
              <w:rPr>
                <w:sz w:val="20"/>
                <w:szCs w:val="20"/>
                <w:color w:val="auto"/>
              </w:rPr>
            </w:pPr>
            <w:r>
              <w:rPr>
                <w:rFonts w:ascii="Times New Roman" w:cs="Times New Roman" w:eastAsia="Times New Roman" w:hAnsi="Times New Roman"/>
                <w:sz w:val="12"/>
                <w:szCs w:val="12"/>
                <w:color w:val="auto"/>
              </w:rPr>
              <w:t>Feb 28, 2025</w:t>
            </w:r>
          </w:p>
        </w:tc>
        <w:tc>
          <w:tcPr>
            <w:tcW w:w="80" w:type="dxa"/>
            <w:vAlign w:val="bottom"/>
          </w:tcPr>
          <w:p>
            <w:pPr>
              <w:spacing w:after="0"/>
              <w:rPr>
                <w:sz w:val="13"/>
                <w:szCs w:val="13"/>
                <w:color w:val="auto"/>
              </w:rPr>
            </w:pPr>
          </w:p>
        </w:tc>
        <w:tc>
          <w:tcPr>
            <w:tcW w:w="1060" w:type="dxa"/>
            <w:vAlign w:val="bottom"/>
            <w:gridSpan w:val="2"/>
          </w:tcPr>
          <w:p>
            <w:pPr>
              <w:jc w:val="center"/>
              <w:ind w:right="300"/>
              <w:spacing w:after="0"/>
              <w:rPr>
                <w:sz w:val="20"/>
                <w:szCs w:val="20"/>
                <w:color w:val="auto"/>
              </w:rPr>
            </w:pPr>
            <w:r>
              <w:rPr>
                <w:rFonts w:ascii="Times New Roman" w:cs="Times New Roman" w:eastAsia="Times New Roman" w:hAnsi="Times New Roman"/>
                <w:sz w:val="12"/>
                <w:szCs w:val="12"/>
                <w:color w:val="auto"/>
              </w:rPr>
              <w:t>Feb 28, 2025</w:t>
            </w:r>
          </w:p>
        </w:tc>
        <w:tc>
          <w:tcPr>
            <w:tcW w:w="100" w:type="dxa"/>
            <w:vAlign w:val="bottom"/>
          </w:tcPr>
          <w:p>
            <w:pPr>
              <w:spacing w:after="0"/>
              <w:rPr>
                <w:sz w:val="13"/>
                <w:szCs w:val="13"/>
                <w:color w:val="auto"/>
              </w:rPr>
            </w:pPr>
          </w:p>
        </w:tc>
        <w:tc>
          <w:tcPr>
            <w:tcW w:w="1000" w:type="dxa"/>
            <w:vAlign w:val="bottom"/>
            <w:gridSpan w:val="2"/>
          </w:tcPr>
          <w:p>
            <w:pPr>
              <w:jc w:val="right"/>
              <w:ind w:right="340"/>
              <w:spacing w:after="0"/>
              <w:rPr>
                <w:sz w:val="20"/>
                <w:szCs w:val="20"/>
                <w:color w:val="auto"/>
              </w:rPr>
            </w:pPr>
            <w:r>
              <w:rPr>
                <w:rFonts w:ascii="Times New Roman" w:cs="Times New Roman" w:eastAsia="Times New Roman" w:hAnsi="Times New Roman"/>
                <w:sz w:val="12"/>
                <w:szCs w:val="12"/>
                <w:color w:val="auto"/>
              </w:rPr>
              <w:t>Feb 28, 2025</w:t>
            </w:r>
          </w:p>
        </w:tc>
        <w:tc>
          <w:tcPr>
            <w:tcW w:w="1120" w:type="dxa"/>
            <w:vAlign w:val="bottom"/>
            <w:gridSpan w:val="2"/>
          </w:tcPr>
          <w:p>
            <w:pPr>
              <w:jc w:val="right"/>
              <w:ind w:right="420"/>
              <w:spacing w:after="0"/>
              <w:rPr>
                <w:sz w:val="20"/>
                <w:szCs w:val="20"/>
                <w:color w:val="auto"/>
              </w:rPr>
            </w:pPr>
            <w:r>
              <w:rPr>
                <w:rFonts w:ascii="Times New Roman" w:cs="Times New Roman" w:eastAsia="Times New Roman" w:hAnsi="Times New Roman"/>
                <w:sz w:val="12"/>
                <w:szCs w:val="12"/>
                <w:color w:val="auto"/>
              </w:rPr>
              <w:t>% Change</w:t>
            </w:r>
          </w:p>
        </w:tc>
        <w:tc>
          <w:tcPr>
            <w:tcW w:w="1000" w:type="dxa"/>
            <w:vAlign w:val="bottom"/>
            <w:gridSpan w:val="2"/>
          </w:tcPr>
          <w:p>
            <w:pPr>
              <w:jc w:val="right"/>
              <w:ind w:right="300"/>
              <w:spacing w:after="0"/>
              <w:rPr>
                <w:sz w:val="20"/>
                <w:szCs w:val="20"/>
                <w:color w:val="auto"/>
              </w:rPr>
            </w:pPr>
            <w:r>
              <w:rPr>
                <w:rFonts w:ascii="Times New Roman" w:cs="Times New Roman" w:eastAsia="Times New Roman" w:hAnsi="Times New Roman"/>
                <w:sz w:val="12"/>
                <w:szCs w:val="12"/>
                <w:color w:val="auto"/>
              </w:rPr>
              <w:t>% Change</w:t>
            </w:r>
          </w:p>
        </w:tc>
      </w:tr>
      <w:tr>
        <w:trPr>
          <w:trHeight w:val="142"/>
        </w:trPr>
        <w:tc>
          <w:tcPr>
            <w:tcW w:w="23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(unaudited)</w:t>
            </w:r>
          </w:p>
        </w:tc>
        <w:tc>
          <w:tcPr>
            <w:tcW w:w="2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center"/>
              <w:ind w:right="41"/>
              <w:spacing w:after="0"/>
              <w:rPr>
                <w:sz w:val="20"/>
                <w:szCs w:val="20"/>
                <w:color w:val="auto"/>
              </w:rPr>
            </w:pPr>
            <w:r>
              <w:rPr>
                <w:rFonts w:ascii="Times New Roman" w:cs="Times New Roman" w:eastAsia="Times New Roman" w:hAnsi="Times New Roman"/>
                <w:sz w:val="12"/>
                <w:szCs w:val="12"/>
                <w:color w:val="auto"/>
                <w:w w:val="97"/>
              </w:rPr>
              <w:t>(unaudited)</w:t>
            </w:r>
          </w:p>
        </w:tc>
        <w:tc>
          <w:tcPr>
            <w:tcW w:w="2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Med Tech</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68,500</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68,500</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57,398</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57,398</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19.3%</w:t>
            </w: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19.3%</w:t>
            </w:r>
          </w:p>
        </w:tc>
      </w:tr>
      <w:tr>
        <w:trPr>
          <w:trHeight w:val="144"/>
        </w:trPr>
        <w:tc>
          <w:tcPr>
            <w:tcW w:w="2380" w:type="dxa"/>
            <w:vAlign w:val="bottom"/>
          </w:tcPr>
          <w:p>
            <w:pPr>
              <w:spacing w:after="0"/>
              <w:rPr>
                <w:sz w:val="20"/>
                <w:szCs w:val="20"/>
                <w:color w:val="auto"/>
              </w:rPr>
            </w:pPr>
            <w:r>
              <w:rPr>
                <w:rFonts w:ascii="Times New Roman" w:cs="Times New Roman" w:eastAsia="Times New Roman" w:hAnsi="Times New Roman"/>
                <w:sz w:val="12"/>
                <w:szCs w:val="12"/>
                <w:color w:val="auto"/>
              </w:rPr>
              <w:t>Gross margin % of sales</w:t>
            </w:r>
          </w:p>
        </w:tc>
        <w:tc>
          <w:tcPr>
            <w:tcW w:w="100" w:type="dxa"/>
            <w:vAlign w:val="bottom"/>
          </w:tcPr>
          <w:p>
            <w:pPr>
              <w:spacing w:after="0"/>
              <w:rPr>
                <w:sz w:val="12"/>
                <w:szCs w:val="12"/>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63.3%</w:t>
            </w: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63.3%</w:t>
            </w:r>
          </w:p>
        </w:tc>
        <w:tc>
          <w:tcPr>
            <w:tcW w:w="80" w:type="dxa"/>
            <w:vAlign w:val="bottom"/>
          </w:tcPr>
          <w:p>
            <w:pPr>
              <w:spacing w:after="0"/>
              <w:rPr>
                <w:sz w:val="12"/>
                <w:szCs w:val="12"/>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63.2%</w:t>
            </w: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63.2%</w:t>
            </w: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2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spacing w:after="0"/>
              <w:rPr>
                <w:sz w:val="12"/>
                <w:szCs w:val="12"/>
                <w:color w:val="auto"/>
              </w:rPr>
            </w:pPr>
          </w:p>
        </w:tc>
        <w:tc>
          <w:tcPr>
            <w:tcW w:w="1120" w:type="dxa"/>
            <w:vAlign w:val="bottom"/>
            <w:gridSpan w:val="2"/>
            <w:shd w:val="clear" w:color="auto" w:fill="CCEEFF"/>
          </w:tcPr>
          <w:p>
            <w:pPr>
              <w:spacing w:after="0"/>
              <w:rPr>
                <w:sz w:val="12"/>
                <w:szCs w:val="12"/>
                <w:color w:val="auto"/>
              </w:rPr>
            </w:pPr>
          </w:p>
        </w:tc>
        <w:tc>
          <w:tcPr>
            <w:tcW w:w="1000" w:type="dxa"/>
            <w:vAlign w:val="bottom"/>
            <w:gridSpan w:val="2"/>
            <w:shd w:val="clear" w:color="auto" w:fill="CCEEFF"/>
          </w:tcPr>
          <w:p>
            <w:pPr>
              <w:spacing w:after="0"/>
              <w:rPr>
                <w:sz w:val="12"/>
                <w:szCs w:val="12"/>
                <w:color w:val="auto"/>
              </w:rPr>
            </w:pPr>
          </w:p>
        </w:tc>
      </w:tr>
      <w:tr>
        <w:trPr>
          <w:trHeight w:val="144"/>
        </w:trPr>
        <w:tc>
          <w:tcPr>
            <w:tcW w:w="2380" w:type="dxa"/>
            <w:vAlign w:val="bottom"/>
          </w:tcPr>
          <w:p>
            <w:pPr>
              <w:spacing w:after="0"/>
              <w:rPr>
                <w:sz w:val="20"/>
                <w:szCs w:val="20"/>
                <w:color w:val="auto"/>
              </w:rPr>
            </w:pPr>
            <w:r>
              <w:rPr>
                <w:rFonts w:ascii="Times New Roman" w:cs="Times New Roman" w:eastAsia="Times New Roman" w:hAnsi="Times New Roman"/>
                <w:sz w:val="12"/>
                <w:szCs w:val="12"/>
                <w:color w:val="auto"/>
              </w:rPr>
              <w:t>Med Device</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59,619</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(2)</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59,617</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58,089</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gridSpan w:val="2"/>
          </w:tcPr>
          <w:p>
            <w:pPr>
              <w:ind w:left="720"/>
              <w:spacing w:after="0"/>
              <w:rPr>
                <w:sz w:val="20"/>
                <w:szCs w:val="20"/>
                <w:color w:val="auto"/>
              </w:rPr>
            </w:pPr>
            <w:r>
              <w:rPr>
                <w:rFonts w:ascii="Times New Roman" w:cs="Times New Roman" w:eastAsia="Times New Roman" w:hAnsi="Times New Roman"/>
                <w:sz w:val="12"/>
                <w:szCs w:val="12"/>
                <w:color w:val="auto"/>
              </w:rPr>
              <w:t>33</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58,122</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2.6%</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2.6%</w:t>
            </w:r>
          </w:p>
        </w:tc>
      </w:tr>
      <w:tr>
        <w:trPr>
          <w:trHeight w:val="144"/>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Gross margin % of sales</w:t>
            </w:r>
          </w:p>
        </w:tc>
        <w:tc>
          <w:tcPr>
            <w:tcW w:w="1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47.6%</w:t>
            </w: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47.6%</w:t>
            </w:r>
          </w:p>
        </w:tc>
        <w:tc>
          <w:tcPr>
            <w:tcW w:w="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47.8%</w:t>
            </w: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47.8%</w:t>
            </w:r>
          </w:p>
        </w:tc>
        <w:tc>
          <w:tcPr>
            <w:tcW w:w="9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4"/>
        </w:trPr>
        <w:tc>
          <w:tcPr>
            <w:tcW w:w="2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spacing w:after="0"/>
              <w:rPr>
                <w:sz w:val="12"/>
                <w:szCs w:val="12"/>
                <w:color w:val="auto"/>
              </w:rPr>
            </w:pPr>
          </w:p>
        </w:tc>
        <w:tc>
          <w:tcPr>
            <w:tcW w:w="60" w:type="dxa"/>
            <w:vAlign w:val="bottom"/>
          </w:tcPr>
          <w:p>
            <w:pPr>
              <w:spacing w:after="0"/>
              <w:rPr>
                <w:sz w:val="12"/>
                <w:szCs w:val="12"/>
                <w:color w:val="auto"/>
              </w:rPr>
            </w:pPr>
          </w:p>
        </w:tc>
        <w:tc>
          <w:tcPr>
            <w:tcW w:w="1080" w:type="dxa"/>
            <w:vAlign w:val="bottom"/>
            <w:gridSpan w:val="2"/>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spacing w:after="0"/>
              <w:rPr>
                <w:sz w:val="12"/>
                <w:szCs w:val="12"/>
                <w:color w:val="auto"/>
              </w:rPr>
            </w:pPr>
          </w:p>
        </w:tc>
        <w:tc>
          <w:tcPr>
            <w:tcW w:w="1120" w:type="dxa"/>
            <w:vAlign w:val="bottom"/>
            <w:gridSpan w:val="2"/>
          </w:tcPr>
          <w:p>
            <w:pPr>
              <w:spacing w:after="0"/>
              <w:rPr>
                <w:sz w:val="12"/>
                <w:szCs w:val="12"/>
                <w:color w:val="auto"/>
              </w:rPr>
            </w:pPr>
          </w:p>
        </w:tc>
        <w:tc>
          <w:tcPr>
            <w:tcW w:w="1000" w:type="dxa"/>
            <w:vAlign w:val="bottom"/>
            <w:gridSpan w:val="2"/>
          </w:tcPr>
          <w:p>
            <w:pPr>
              <w:spacing w:after="0"/>
              <w:rPr>
                <w:sz w:val="12"/>
                <w:szCs w:val="12"/>
                <w:color w:val="auto"/>
              </w:rPr>
            </w:pPr>
          </w:p>
        </w:tc>
      </w:tr>
      <w:tr>
        <w:trPr>
          <w:trHeight w:val="144"/>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Total</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128,119</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128,117</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115,487</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2"/>
                <w:szCs w:val="12"/>
                <w:color w:val="auto"/>
              </w:rPr>
              <w:t>33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115,520</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10.9%</w:t>
            </w: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10.9%</w:t>
            </w:r>
          </w:p>
        </w:tc>
      </w:tr>
      <w:tr>
        <w:trPr>
          <w:trHeight w:val="155"/>
        </w:trPr>
        <w:tc>
          <w:tcPr>
            <w:tcW w:w="2380" w:type="dxa"/>
            <w:vAlign w:val="bottom"/>
          </w:tcPr>
          <w:p>
            <w:pPr>
              <w:spacing w:after="0"/>
              <w:rPr>
                <w:sz w:val="20"/>
                <w:szCs w:val="20"/>
                <w:color w:val="auto"/>
              </w:rPr>
            </w:pPr>
            <w:r>
              <w:rPr>
                <w:rFonts w:ascii="Times New Roman" w:cs="Times New Roman" w:eastAsia="Times New Roman" w:hAnsi="Times New Roman"/>
                <w:sz w:val="12"/>
                <w:szCs w:val="12"/>
                <w:color w:val="auto"/>
              </w:rPr>
              <w:t>Gross margin % of sales</w:t>
            </w:r>
          </w:p>
        </w:tc>
        <w:tc>
          <w:tcPr>
            <w:tcW w:w="100" w:type="dxa"/>
            <w:vAlign w:val="bottom"/>
          </w:tcPr>
          <w:p>
            <w:pPr>
              <w:spacing w:after="0"/>
              <w:rPr>
                <w:sz w:val="13"/>
                <w:szCs w:val="13"/>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54.9%</w:t>
            </w: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54.9%</w:t>
            </w:r>
          </w:p>
        </w:tc>
        <w:tc>
          <w:tcPr>
            <w:tcW w:w="80" w:type="dxa"/>
            <w:vAlign w:val="bottom"/>
          </w:tcPr>
          <w:p>
            <w:pPr>
              <w:spacing w:after="0"/>
              <w:rPr>
                <w:sz w:val="13"/>
                <w:szCs w:val="13"/>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54.4%</w:t>
            </w: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54.4%</w:t>
            </w: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r>
    </w:tbl>
    <w:p>
      <w:pPr>
        <w:spacing w:after="0" w:line="122" w:lineRule="exact"/>
        <w:rPr>
          <w:sz w:val="20"/>
          <w:szCs w:val="20"/>
          <w:color w:val="auto"/>
        </w:rPr>
      </w:pPr>
    </w:p>
    <w:p>
      <w:pPr>
        <w:ind w:left="8" w:right="260" w:hanging="8"/>
        <w:spacing w:after="0" w:line="279" w:lineRule="auto"/>
        <w:tabs>
          <w:tab w:leader="none" w:pos="208" w:val="left"/>
        </w:tabs>
        <w:numPr>
          <w:ilvl w:val="0"/>
          <w:numId w:val="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Reflects the Company's US GAAP consolidated financial statements before pro forma adjustments related to the sale of the Dialysis and BioSentry Businesses on June 8, 2023, the sale of the PICCs and Midlines Businesses on February 15, 2024 and the discontinuation of the RadioFrequency Ablation and Syntrax products ("the Businesses") as of February 29, 2024, for the nine months ended February 28, 2025.</w:t>
      </w:r>
    </w:p>
    <w:p>
      <w:pPr>
        <w:spacing w:after="0" w:line="111" w:lineRule="exact"/>
        <w:rPr>
          <w:rFonts w:ascii="Times New Roman" w:cs="Times New Roman" w:eastAsia="Times New Roman" w:hAnsi="Times New Roman"/>
          <w:sz w:val="12"/>
          <w:szCs w:val="12"/>
          <w:color w:val="auto"/>
        </w:rPr>
      </w:pPr>
    </w:p>
    <w:p>
      <w:pPr>
        <w:ind w:left="168" w:hanging="168"/>
        <w:spacing w:after="0"/>
        <w:tabs>
          <w:tab w:leader="none" w:pos="168" w:val="left"/>
        </w:tabs>
        <w:numPr>
          <w:ilvl w:val="0"/>
          <w:numId w:val="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Reflects the elimination of revenues and expenses representing the operating results from the sales and discontinuation of the Businesses.</w:t>
      </w:r>
    </w:p>
    <w:p>
      <w:pPr>
        <w:spacing w:after="0" w:line="263"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0"/>
          <w:szCs w:val="10"/>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21590</wp:posOffset>
            </wp:positionV>
            <wp:extent cx="7178040" cy="114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8"/>
          </w:cols>
          <w:pgMar w:left="292" w:top="125" w:right="299" w:bottom="1440" w:gutter="0" w:footer="0" w:header="0"/>
        </w:sectPr>
      </w:pPr>
    </w:p>
    <w:bookmarkStart w:id="18" w:name="page19"/>
    <w:bookmarkEnd w:id="18"/>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ANGIODYNAMICS, INC. AND SUBSIDIARIES</w:t>
      </w:r>
    </w:p>
    <w:p>
      <w:pPr>
        <w:spacing w:after="0" w:line="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CONSOLIDATED BALANCE SHEETS</w:t>
      </w:r>
    </w:p>
    <w:p>
      <w:pPr>
        <w:spacing w:after="0" w:line="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(in thousands)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3900" w:type="dxa"/>
            <w:vAlign w:val="bottom"/>
          </w:tcPr>
          <w:p>
            <w:pPr>
              <w:spacing w:after="0"/>
              <w:rPr>
                <w:sz w:val="13"/>
                <w:szCs w:val="13"/>
                <w:color w:val="auto"/>
              </w:rPr>
            </w:pPr>
          </w:p>
        </w:tc>
        <w:tc>
          <w:tcPr>
            <w:tcW w:w="4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gridSpan w:val="2"/>
          </w:tcPr>
          <w:p>
            <w:pPr>
              <w:ind w:left="100"/>
              <w:spacing w:after="0"/>
              <w:rPr>
                <w:sz w:val="20"/>
                <w:szCs w:val="20"/>
                <w:color w:val="auto"/>
              </w:rPr>
            </w:pPr>
            <w:r>
              <w:rPr>
                <w:rFonts w:ascii="Times New Roman" w:cs="Times New Roman" w:eastAsia="Times New Roman" w:hAnsi="Times New Roman"/>
                <w:sz w:val="12"/>
                <w:szCs w:val="12"/>
                <w:color w:val="auto"/>
              </w:rPr>
              <w:t>Feb 28, 2026</w:t>
            </w:r>
          </w:p>
        </w:tc>
        <w:tc>
          <w:tcPr>
            <w:tcW w:w="140" w:type="dxa"/>
            <w:vAlign w:val="bottom"/>
          </w:tcPr>
          <w:p>
            <w:pPr>
              <w:spacing w:after="0"/>
              <w:rPr>
                <w:sz w:val="13"/>
                <w:szCs w:val="13"/>
                <w:color w:val="auto"/>
              </w:rPr>
            </w:pPr>
          </w:p>
        </w:tc>
        <w:tc>
          <w:tcPr>
            <w:tcW w:w="1100" w:type="dxa"/>
            <w:vAlign w:val="bottom"/>
            <w:gridSpan w:val="2"/>
          </w:tcPr>
          <w:p>
            <w:pPr>
              <w:jc w:val="right"/>
              <w:ind w:right="340"/>
              <w:spacing w:after="0"/>
              <w:rPr>
                <w:sz w:val="20"/>
                <w:szCs w:val="20"/>
                <w:color w:val="auto"/>
              </w:rPr>
            </w:pPr>
            <w:r>
              <w:rPr>
                <w:rFonts w:ascii="Times New Roman" w:cs="Times New Roman" w:eastAsia="Times New Roman" w:hAnsi="Times New Roman"/>
                <w:sz w:val="12"/>
                <w:szCs w:val="12"/>
                <w:color w:val="auto"/>
              </w:rPr>
              <w:t>May 31, 2025</w:t>
            </w:r>
          </w:p>
        </w:tc>
        <w:tc>
          <w:tcPr>
            <w:tcW w:w="0" w:type="dxa"/>
            <w:vAlign w:val="bottom"/>
          </w:tcPr>
          <w:p>
            <w:pPr>
              <w:spacing w:after="0"/>
              <w:rPr>
                <w:sz w:val="1"/>
                <w:szCs w:val="1"/>
                <w:color w:val="auto"/>
              </w:rPr>
            </w:pPr>
          </w:p>
        </w:tc>
      </w:tr>
      <w:tr>
        <w:trPr>
          <w:trHeight w:val="153"/>
        </w:trPr>
        <w:tc>
          <w:tcPr>
            <w:tcW w:w="3900" w:type="dxa"/>
            <w:vAlign w:val="bottom"/>
            <w:vMerge w:val="restart"/>
          </w:tcPr>
          <w:p>
            <w:pPr>
              <w:spacing w:after="0"/>
              <w:rPr>
                <w:sz w:val="20"/>
                <w:szCs w:val="20"/>
                <w:color w:val="auto"/>
              </w:rPr>
            </w:pPr>
            <w:r>
              <w:rPr>
                <w:rFonts w:ascii="Times New Roman" w:cs="Times New Roman" w:eastAsia="Times New Roman" w:hAnsi="Times New Roman"/>
                <w:sz w:val="12"/>
                <w:szCs w:val="12"/>
                <w:b w:val="1"/>
                <w:bCs w:val="1"/>
                <w:color w:val="auto"/>
              </w:rPr>
              <w:t>Assets</w:t>
            </w:r>
          </w:p>
        </w:tc>
        <w:tc>
          <w:tcPr>
            <w:tcW w:w="48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ind w:left="140"/>
              <w:spacing w:after="0"/>
              <w:rPr>
                <w:sz w:val="20"/>
                <w:szCs w:val="20"/>
                <w:color w:val="auto"/>
              </w:rPr>
            </w:pPr>
            <w:r>
              <w:rPr>
                <w:rFonts w:ascii="Times New Roman" w:cs="Times New Roman" w:eastAsia="Times New Roman" w:hAnsi="Times New Roman"/>
                <w:sz w:val="12"/>
                <w:szCs w:val="12"/>
                <w:color w:val="auto"/>
              </w:rPr>
              <w:t>(unaudited)</w:t>
            </w:r>
          </w:p>
        </w:tc>
        <w:tc>
          <w:tcPr>
            <w:tcW w:w="2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jc w:val="right"/>
              <w:ind w:right="280"/>
              <w:spacing w:after="0"/>
              <w:rPr>
                <w:sz w:val="20"/>
                <w:szCs w:val="20"/>
                <w:color w:val="auto"/>
              </w:rPr>
            </w:pPr>
            <w:r>
              <w:rPr>
                <w:rFonts w:ascii="Times New Roman" w:cs="Times New Roman" w:eastAsia="Times New Roman" w:hAnsi="Times New Roman"/>
                <w:sz w:val="12"/>
                <w:szCs w:val="12"/>
                <w:color w:val="auto"/>
              </w:rPr>
              <w:t>(audited)</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900" w:type="dxa"/>
            <w:vAlign w:val="bottom"/>
            <w:vMerge w:val="continue"/>
          </w:tcPr>
          <w:p>
            <w:pPr>
              <w:spacing w:after="0"/>
              <w:rPr>
                <w:sz w:val="10"/>
                <w:szCs w:val="10"/>
                <w:color w:val="auto"/>
              </w:rPr>
            </w:pPr>
          </w:p>
        </w:tc>
        <w:tc>
          <w:tcPr>
            <w:tcW w:w="48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3900" w:type="dxa"/>
            <w:vAlign w:val="bottom"/>
          </w:tcPr>
          <w:p>
            <w:pPr>
              <w:spacing w:after="0"/>
              <w:rPr>
                <w:sz w:val="20"/>
                <w:szCs w:val="20"/>
                <w:color w:val="auto"/>
              </w:rPr>
            </w:pPr>
            <w:r>
              <w:rPr>
                <w:rFonts w:ascii="Times New Roman" w:cs="Times New Roman" w:eastAsia="Times New Roman" w:hAnsi="Times New Roman"/>
                <w:sz w:val="12"/>
                <w:szCs w:val="12"/>
                <w:color w:val="auto"/>
              </w:rPr>
              <w:t>Current assets:</w:t>
            </w:r>
          </w:p>
        </w:tc>
        <w:tc>
          <w:tcPr>
            <w:tcW w:w="4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9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Cash</w:t>
            </w:r>
          </w:p>
        </w:tc>
        <w:tc>
          <w:tcPr>
            <w:tcW w:w="4960" w:type="dxa"/>
            <w:vAlign w:val="bottom"/>
            <w:gridSpan w:val="2"/>
            <w:shd w:val="clear" w:color="auto" w:fill="CCEEFF"/>
          </w:tcPr>
          <w:p>
            <w:pPr>
              <w:jc w:val="right"/>
              <w:ind w:right="46"/>
              <w:spacing w:after="0"/>
              <w:rPr>
                <w:sz w:val="20"/>
                <w:szCs w:val="20"/>
                <w:color w:val="auto"/>
              </w:rPr>
            </w:pPr>
            <w:r>
              <w:rPr>
                <w:rFonts w:ascii="Times New Roman" w:cs="Times New Roman" w:eastAsia="Times New Roman" w:hAnsi="Times New Roman"/>
                <w:sz w:val="12"/>
                <w:szCs w:val="12"/>
                <w:color w:val="auto"/>
              </w:rPr>
              <w:t>$</w:t>
            </w:r>
          </w:p>
        </w:tc>
        <w:tc>
          <w:tcPr>
            <w:tcW w:w="120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2"/>
                <w:szCs w:val="12"/>
                <w:color w:val="auto"/>
              </w:rPr>
              <w:t>37,810</w:t>
            </w:r>
          </w:p>
        </w:tc>
        <w:tc>
          <w:tcPr>
            <w:tcW w:w="14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55,893</w:t>
            </w:r>
          </w:p>
        </w:tc>
        <w:tc>
          <w:tcPr>
            <w:tcW w:w="0" w:type="dxa"/>
            <w:vAlign w:val="bottom"/>
          </w:tcPr>
          <w:p>
            <w:pPr>
              <w:spacing w:after="0"/>
              <w:rPr>
                <w:sz w:val="1"/>
                <w:szCs w:val="1"/>
                <w:color w:val="auto"/>
              </w:rPr>
            </w:pPr>
          </w:p>
        </w:tc>
      </w:tr>
      <w:tr>
        <w:trPr>
          <w:trHeight w:val="144"/>
        </w:trPr>
        <w:tc>
          <w:tcPr>
            <w:tcW w:w="390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Accounts receivable, net</w:t>
            </w:r>
          </w:p>
        </w:tc>
        <w:tc>
          <w:tcPr>
            <w:tcW w:w="4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tcPr>
          <w:p>
            <w:pPr>
              <w:ind w:left="660"/>
              <w:spacing w:after="0"/>
              <w:rPr>
                <w:sz w:val="20"/>
                <w:szCs w:val="20"/>
                <w:color w:val="auto"/>
              </w:rPr>
            </w:pPr>
            <w:r>
              <w:rPr>
                <w:rFonts w:ascii="Times New Roman" w:cs="Times New Roman" w:eastAsia="Times New Roman" w:hAnsi="Times New Roman"/>
                <w:sz w:val="12"/>
                <w:szCs w:val="12"/>
                <w:color w:val="auto"/>
              </w:rPr>
              <w:t>45,552</w:t>
            </w:r>
          </w:p>
        </w:tc>
        <w:tc>
          <w:tcPr>
            <w:tcW w:w="140" w:type="dxa"/>
            <w:vAlign w:val="bottom"/>
          </w:tcPr>
          <w:p>
            <w:pPr>
              <w:spacing w:after="0"/>
              <w:rPr>
                <w:sz w:val="12"/>
                <w:szCs w:val="12"/>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42,890</w:t>
            </w:r>
          </w:p>
        </w:tc>
        <w:tc>
          <w:tcPr>
            <w:tcW w:w="0" w:type="dxa"/>
            <w:vAlign w:val="bottom"/>
          </w:tcPr>
          <w:p>
            <w:pPr>
              <w:spacing w:after="0"/>
              <w:rPr>
                <w:sz w:val="1"/>
                <w:szCs w:val="1"/>
                <w:color w:val="auto"/>
              </w:rPr>
            </w:pPr>
          </w:p>
        </w:tc>
      </w:tr>
      <w:tr>
        <w:trPr>
          <w:trHeight w:val="144"/>
        </w:trPr>
        <w:tc>
          <w:tcPr>
            <w:tcW w:w="39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Inventories</w:t>
            </w:r>
          </w:p>
        </w:tc>
        <w:tc>
          <w:tcPr>
            <w:tcW w:w="4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2"/>
                <w:szCs w:val="12"/>
                <w:color w:val="auto"/>
              </w:rPr>
              <w:t>58,578</w:t>
            </w:r>
          </w:p>
        </w:tc>
        <w:tc>
          <w:tcPr>
            <w:tcW w:w="14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62,006</w:t>
            </w:r>
          </w:p>
        </w:tc>
        <w:tc>
          <w:tcPr>
            <w:tcW w:w="0" w:type="dxa"/>
            <w:vAlign w:val="bottom"/>
          </w:tcPr>
          <w:p>
            <w:pPr>
              <w:spacing w:after="0"/>
              <w:rPr>
                <w:sz w:val="1"/>
                <w:szCs w:val="1"/>
                <w:color w:val="auto"/>
              </w:rPr>
            </w:pPr>
          </w:p>
        </w:tc>
      </w:tr>
      <w:tr>
        <w:trPr>
          <w:trHeight w:val="144"/>
        </w:trPr>
        <w:tc>
          <w:tcPr>
            <w:tcW w:w="390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Prepaid expenses and other</w:t>
            </w:r>
          </w:p>
        </w:tc>
        <w:tc>
          <w:tcPr>
            <w:tcW w:w="4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tcPr>
          <w:p>
            <w:pPr>
              <w:ind w:left="660"/>
              <w:spacing w:after="0"/>
              <w:rPr>
                <w:sz w:val="20"/>
                <w:szCs w:val="20"/>
                <w:color w:val="auto"/>
              </w:rPr>
            </w:pPr>
            <w:r>
              <w:rPr>
                <w:rFonts w:ascii="Times New Roman" w:cs="Times New Roman" w:eastAsia="Times New Roman" w:hAnsi="Times New Roman"/>
                <w:sz w:val="12"/>
                <w:szCs w:val="12"/>
                <w:color w:val="auto"/>
              </w:rPr>
              <w:t>13,612</w:t>
            </w:r>
          </w:p>
        </w:tc>
        <w:tc>
          <w:tcPr>
            <w:tcW w:w="140" w:type="dxa"/>
            <w:vAlign w:val="bottom"/>
          </w:tcPr>
          <w:p>
            <w:pPr>
              <w:spacing w:after="0"/>
              <w:rPr>
                <w:sz w:val="12"/>
                <w:szCs w:val="12"/>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7,535</w:t>
            </w:r>
          </w:p>
        </w:tc>
        <w:tc>
          <w:tcPr>
            <w:tcW w:w="0" w:type="dxa"/>
            <w:vAlign w:val="bottom"/>
          </w:tcPr>
          <w:p>
            <w:pPr>
              <w:spacing w:after="0"/>
              <w:rPr>
                <w:sz w:val="1"/>
                <w:szCs w:val="1"/>
                <w:color w:val="auto"/>
              </w:rPr>
            </w:pPr>
          </w:p>
        </w:tc>
      </w:tr>
      <w:tr>
        <w:trPr>
          <w:trHeight w:val="142"/>
        </w:trPr>
        <w:tc>
          <w:tcPr>
            <w:tcW w:w="39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2"/>
                <w:szCs w:val="12"/>
                <w:color w:val="auto"/>
              </w:rPr>
              <w:t>Total current assets</w:t>
            </w:r>
          </w:p>
        </w:tc>
        <w:tc>
          <w:tcPr>
            <w:tcW w:w="4800" w:type="dxa"/>
            <w:vAlign w:val="bottom"/>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10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155,552</w:t>
            </w:r>
          </w:p>
        </w:tc>
        <w:tc>
          <w:tcPr>
            <w:tcW w:w="20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168,324</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900" w:type="dxa"/>
            <w:vAlign w:val="bottom"/>
          </w:tcPr>
          <w:p>
            <w:pPr>
              <w:spacing w:after="0"/>
              <w:rPr>
                <w:sz w:val="20"/>
                <w:szCs w:val="20"/>
                <w:color w:val="auto"/>
              </w:rPr>
            </w:pPr>
            <w:r>
              <w:rPr>
                <w:rFonts w:ascii="Times New Roman" w:cs="Times New Roman" w:eastAsia="Times New Roman" w:hAnsi="Times New Roman"/>
                <w:sz w:val="12"/>
                <w:szCs w:val="12"/>
                <w:color w:val="auto"/>
              </w:rPr>
              <w:t>Property, plant and equipment, net</w:t>
            </w:r>
          </w:p>
        </w:tc>
        <w:tc>
          <w:tcPr>
            <w:tcW w:w="4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tcPr>
          <w:p>
            <w:pPr>
              <w:ind w:left="660"/>
              <w:spacing w:after="0"/>
              <w:rPr>
                <w:sz w:val="20"/>
                <w:szCs w:val="20"/>
                <w:color w:val="auto"/>
              </w:rPr>
            </w:pPr>
            <w:r>
              <w:rPr>
                <w:rFonts w:ascii="Times New Roman" w:cs="Times New Roman" w:eastAsia="Times New Roman" w:hAnsi="Times New Roman"/>
                <w:sz w:val="12"/>
                <w:szCs w:val="12"/>
                <w:color w:val="auto"/>
              </w:rPr>
              <w:t>29,142</w:t>
            </w:r>
          </w:p>
        </w:tc>
        <w:tc>
          <w:tcPr>
            <w:tcW w:w="140" w:type="dxa"/>
            <w:vAlign w:val="bottom"/>
          </w:tcPr>
          <w:p>
            <w:pPr>
              <w:spacing w:after="0"/>
              <w:rPr>
                <w:sz w:val="12"/>
                <w:szCs w:val="12"/>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32,300</w:t>
            </w:r>
          </w:p>
        </w:tc>
        <w:tc>
          <w:tcPr>
            <w:tcW w:w="0" w:type="dxa"/>
            <w:vAlign w:val="bottom"/>
          </w:tcPr>
          <w:p>
            <w:pPr>
              <w:spacing w:after="0"/>
              <w:rPr>
                <w:sz w:val="1"/>
                <w:szCs w:val="1"/>
                <w:color w:val="auto"/>
              </w:rPr>
            </w:pPr>
          </w:p>
        </w:tc>
      </w:tr>
      <w:tr>
        <w:trPr>
          <w:trHeight w:val="144"/>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Other assets</w:t>
            </w:r>
          </w:p>
        </w:tc>
        <w:tc>
          <w:tcPr>
            <w:tcW w:w="4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2"/>
                <w:szCs w:val="12"/>
                <w:color w:val="auto"/>
              </w:rPr>
              <w:t>10,498</w:t>
            </w:r>
          </w:p>
        </w:tc>
        <w:tc>
          <w:tcPr>
            <w:tcW w:w="14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10,404</w:t>
            </w:r>
          </w:p>
        </w:tc>
        <w:tc>
          <w:tcPr>
            <w:tcW w:w="0" w:type="dxa"/>
            <w:vAlign w:val="bottom"/>
          </w:tcPr>
          <w:p>
            <w:pPr>
              <w:spacing w:after="0"/>
              <w:rPr>
                <w:sz w:val="1"/>
                <w:szCs w:val="1"/>
                <w:color w:val="auto"/>
              </w:rPr>
            </w:pPr>
          </w:p>
        </w:tc>
      </w:tr>
      <w:tr>
        <w:trPr>
          <w:trHeight w:val="144"/>
        </w:trPr>
        <w:tc>
          <w:tcPr>
            <w:tcW w:w="3900" w:type="dxa"/>
            <w:vAlign w:val="bottom"/>
          </w:tcPr>
          <w:p>
            <w:pPr>
              <w:spacing w:after="0"/>
              <w:rPr>
                <w:sz w:val="20"/>
                <w:szCs w:val="20"/>
                <w:color w:val="auto"/>
              </w:rPr>
            </w:pPr>
            <w:r>
              <w:rPr>
                <w:rFonts w:ascii="Times New Roman" w:cs="Times New Roman" w:eastAsia="Times New Roman" w:hAnsi="Times New Roman"/>
                <w:sz w:val="12"/>
                <w:szCs w:val="12"/>
                <w:color w:val="auto"/>
              </w:rPr>
              <w:t>Intangible assets, net</w:t>
            </w:r>
          </w:p>
        </w:tc>
        <w:tc>
          <w:tcPr>
            <w:tcW w:w="4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tcPr>
          <w:p>
            <w:pPr>
              <w:ind w:left="660"/>
              <w:spacing w:after="0"/>
              <w:rPr>
                <w:sz w:val="20"/>
                <w:szCs w:val="20"/>
                <w:color w:val="auto"/>
              </w:rPr>
            </w:pPr>
            <w:r>
              <w:rPr>
                <w:rFonts w:ascii="Times New Roman" w:cs="Times New Roman" w:eastAsia="Times New Roman" w:hAnsi="Times New Roman"/>
                <w:sz w:val="12"/>
                <w:szCs w:val="12"/>
                <w:color w:val="auto"/>
              </w:rPr>
              <w:t>65,486</w:t>
            </w:r>
          </w:p>
        </w:tc>
        <w:tc>
          <w:tcPr>
            <w:tcW w:w="140" w:type="dxa"/>
            <w:vAlign w:val="bottom"/>
          </w:tcPr>
          <w:p>
            <w:pPr>
              <w:spacing w:after="0"/>
              <w:rPr>
                <w:sz w:val="12"/>
                <w:szCs w:val="12"/>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69,116</w:t>
            </w:r>
          </w:p>
        </w:tc>
        <w:tc>
          <w:tcPr>
            <w:tcW w:w="0" w:type="dxa"/>
            <w:vAlign w:val="bottom"/>
          </w:tcPr>
          <w:p>
            <w:pPr>
              <w:spacing w:after="0"/>
              <w:rPr>
                <w:sz w:val="1"/>
                <w:szCs w:val="1"/>
                <w:color w:val="auto"/>
              </w:rPr>
            </w:pPr>
          </w:p>
        </w:tc>
      </w:tr>
      <w:tr>
        <w:trPr>
          <w:trHeight w:val="182"/>
        </w:trPr>
        <w:tc>
          <w:tcPr>
            <w:tcW w:w="39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2"/>
                <w:szCs w:val="12"/>
                <w:color w:val="auto"/>
              </w:rPr>
              <w:t>Total assets</w:t>
            </w:r>
          </w:p>
        </w:tc>
        <w:tc>
          <w:tcPr>
            <w:tcW w:w="4800" w:type="dxa"/>
            <w:vAlign w:val="bottom"/>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260,678</w:t>
            </w:r>
          </w:p>
        </w:tc>
        <w:tc>
          <w:tcPr>
            <w:tcW w:w="200" w:type="dxa"/>
            <w:vAlign w:val="bottom"/>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280,144</w:t>
            </w: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0"/>
        </w:trPr>
        <w:tc>
          <w:tcPr>
            <w:tcW w:w="3900" w:type="dxa"/>
            <w:vAlign w:val="bottom"/>
            <w:tcBorders>
              <w:top w:val="single" w:sz="8" w:color="CCEEFF"/>
            </w:tcBorders>
          </w:tcPr>
          <w:p>
            <w:pPr>
              <w:spacing w:after="0" w:line="120" w:lineRule="exact"/>
              <w:rPr>
                <w:sz w:val="20"/>
                <w:szCs w:val="20"/>
                <w:color w:val="auto"/>
              </w:rPr>
            </w:pPr>
            <w:r>
              <w:rPr>
                <w:rFonts w:ascii="Times New Roman" w:cs="Times New Roman" w:eastAsia="Times New Roman" w:hAnsi="Times New Roman"/>
                <w:sz w:val="12"/>
                <w:szCs w:val="12"/>
                <w:b w:val="1"/>
                <w:bCs w:val="1"/>
                <w:color w:val="auto"/>
              </w:rPr>
              <w:t>Liabilities and stockholders' equity</w:t>
            </w:r>
          </w:p>
        </w:tc>
        <w:tc>
          <w:tcPr>
            <w:tcW w:w="4800" w:type="dxa"/>
            <w:vAlign w:val="bottom"/>
            <w:tcBorders>
              <w:top w:val="single" w:sz="8" w:color="CCEEFF"/>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spacing w:after="0"/>
              <w:rPr>
                <w:sz w:val="10"/>
                <w:szCs w:val="10"/>
                <w:color w:val="auto"/>
              </w:rPr>
            </w:pPr>
          </w:p>
        </w:tc>
        <w:tc>
          <w:tcPr>
            <w:tcW w:w="200" w:type="dxa"/>
            <w:vAlign w:val="bottom"/>
            <w:tcBorders>
              <w:top w:val="single" w:sz="8" w:color="CCEEFF"/>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Current liabilities:</w:t>
            </w:r>
          </w:p>
        </w:tc>
        <w:tc>
          <w:tcPr>
            <w:tcW w:w="4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0" w:type="dxa"/>
            <w:vAlign w:val="bottom"/>
            <w:tcBorders>
              <w:right w:val="single" w:sz="8" w:color="CCEEFF"/>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90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Accounts payable</w:t>
            </w:r>
          </w:p>
        </w:tc>
        <w:tc>
          <w:tcPr>
            <w:tcW w:w="4960" w:type="dxa"/>
            <w:vAlign w:val="bottom"/>
            <w:gridSpan w:val="2"/>
          </w:tcPr>
          <w:p>
            <w:pPr>
              <w:jc w:val="right"/>
              <w:ind w:right="46"/>
              <w:spacing w:after="0"/>
              <w:rPr>
                <w:sz w:val="20"/>
                <w:szCs w:val="20"/>
                <w:color w:val="auto"/>
              </w:rPr>
            </w:pPr>
            <w:r>
              <w:rPr>
                <w:rFonts w:ascii="Times New Roman" w:cs="Times New Roman" w:eastAsia="Times New Roman" w:hAnsi="Times New Roman"/>
                <w:sz w:val="12"/>
                <w:szCs w:val="12"/>
                <w:color w:val="auto"/>
              </w:rPr>
              <w:t>$</w:t>
            </w:r>
          </w:p>
        </w:tc>
        <w:tc>
          <w:tcPr>
            <w:tcW w:w="1200" w:type="dxa"/>
            <w:vAlign w:val="bottom"/>
            <w:gridSpan w:val="2"/>
          </w:tcPr>
          <w:p>
            <w:pPr>
              <w:ind w:left="660"/>
              <w:spacing w:after="0"/>
              <w:rPr>
                <w:sz w:val="20"/>
                <w:szCs w:val="20"/>
                <w:color w:val="auto"/>
              </w:rPr>
            </w:pPr>
            <w:r>
              <w:rPr>
                <w:rFonts w:ascii="Times New Roman" w:cs="Times New Roman" w:eastAsia="Times New Roman" w:hAnsi="Times New Roman"/>
                <w:sz w:val="12"/>
                <w:szCs w:val="12"/>
                <w:color w:val="auto"/>
              </w:rPr>
              <w:t>29,105</w:t>
            </w:r>
          </w:p>
        </w:tc>
        <w:tc>
          <w:tcPr>
            <w:tcW w:w="1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33,291</w:t>
            </w:r>
          </w:p>
        </w:tc>
        <w:tc>
          <w:tcPr>
            <w:tcW w:w="0" w:type="dxa"/>
            <w:vAlign w:val="bottom"/>
          </w:tcPr>
          <w:p>
            <w:pPr>
              <w:spacing w:after="0"/>
              <w:rPr>
                <w:sz w:val="1"/>
                <w:szCs w:val="1"/>
                <w:color w:val="auto"/>
              </w:rPr>
            </w:pPr>
          </w:p>
        </w:tc>
      </w:tr>
      <w:tr>
        <w:trPr>
          <w:trHeight w:val="144"/>
        </w:trPr>
        <w:tc>
          <w:tcPr>
            <w:tcW w:w="39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Accrued liabilities</w:t>
            </w:r>
          </w:p>
        </w:tc>
        <w:tc>
          <w:tcPr>
            <w:tcW w:w="4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2"/>
                <w:szCs w:val="12"/>
                <w:color w:val="auto"/>
              </w:rPr>
              <w:t>32,303</w:t>
            </w:r>
          </w:p>
        </w:tc>
        <w:tc>
          <w:tcPr>
            <w:tcW w:w="14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35,518</w:t>
            </w:r>
          </w:p>
        </w:tc>
        <w:tc>
          <w:tcPr>
            <w:tcW w:w="0" w:type="dxa"/>
            <w:vAlign w:val="bottom"/>
          </w:tcPr>
          <w:p>
            <w:pPr>
              <w:spacing w:after="0"/>
              <w:rPr>
                <w:sz w:val="1"/>
                <w:szCs w:val="1"/>
                <w:color w:val="auto"/>
              </w:rPr>
            </w:pPr>
          </w:p>
        </w:tc>
      </w:tr>
      <w:tr>
        <w:trPr>
          <w:trHeight w:val="144"/>
        </w:trPr>
        <w:tc>
          <w:tcPr>
            <w:tcW w:w="390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Other current liabilities</w:t>
            </w:r>
          </w:p>
        </w:tc>
        <w:tc>
          <w:tcPr>
            <w:tcW w:w="4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4,658</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7,388</w:t>
            </w:r>
          </w:p>
        </w:tc>
        <w:tc>
          <w:tcPr>
            <w:tcW w:w="0" w:type="dxa"/>
            <w:vAlign w:val="bottom"/>
          </w:tcPr>
          <w:p>
            <w:pPr>
              <w:spacing w:after="0"/>
              <w:rPr>
                <w:sz w:val="1"/>
                <w:szCs w:val="1"/>
                <w:color w:val="auto"/>
              </w:rPr>
            </w:pPr>
          </w:p>
        </w:tc>
      </w:tr>
      <w:tr>
        <w:trPr>
          <w:trHeight w:val="142"/>
        </w:trPr>
        <w:tc>
          <w:tcPr>
            <w:tcW w:w="39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2"/>
                <w:szCs w:val="12"/>
                <w:color w:val="auto"/>
              </w:rPr>
              <w:t>Total current liabilities</w:t>
            </w:r>
          </w:p>
        </w:tc>
        <w:tc>
          <w:tcPr>
            <w:tcW w:w="4800" w:type="dxa"/>
            <w:vAlign w:val="bottom"/>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1000" w:type="dxa"/>
            <w:vAlign w:val="bottom"/>
            <w:tcBorders>
              <w:top w:val="single" w:sz="8" w:color="auto"/>
              <w:right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2"/>
                <w:szCs w:val="12"/>
                <w:color w:val="auto"/>
                <w:w w:val="90"/>
              </w:rPr>
              <w:t>66,066</w:t>
            </w:r>
          </w:p>
        </w:tc>
        <w:tc>
          <w:tcPr>
            <w:tcW w:w="20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76,197</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900" w:type="dxa"/>
            <w:vAlign w:val="bottom"/>
          </w:tcPr>
          <w:p>
            <w:pPr>
              <w:spacing w:after="0"/>
              <w:rPr>
                <w:sz w:val="20"/>
                <w:szCs w:val="20"/>
                <w:color w:val="auto"/>
              </w:rPr>
            </w:pPr>
            <w:r>
              <w:rPr>
                <w:rFonts w:ascii="Times New Roman" w:cs="Times New Roman" w:eastAsia="Times New Roman" w:hAnsi="Times New Roman"/>
                <w:sz w:val="12"/>
                <w:szCs w:val="12"/>
                <w:color w:val="auto"/>
              </w:rPr>
              <w:t>Deferred income taxes</w:t>
            </w:r>
          </w:p>
        </w:tc>
        <w:tc>
          <w:tcPr>
            <w:tcW w:w="4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4,554</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4,073</w:t>
            </w:r>
          </w:p>
        </w:tc>
        <w:tc>
          <w:tcPr>
            <w:tcW w:w="0" w:type="dxa"/>
            <w:vAlign w:val="bottom"/>
          </w:tcPr>
          <w:p>
            <w:pPr>
              <w:spacing w:after="0"/>
              <w:rPr>
                <w:sz w:val="1"/>
                <w:szCs w:val="1"/>
                <w:color w:val="auto"/>
              </w:rPr>
            </w:pPr>
          </w:p>
        </w:tc>
      </w:tr>
      <w:tr>
        <w:trPr>
          <w:trHeight w:val="144"/>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Other long-term liabilities</w:t>
            </w:r>
          </w:p>
        </w:tc>
        <w:tc>
          <w:tcPr>
            <w:tcW w:w="4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2"/>
                <w:szCs w:val="12"/>
                <w:color w:val="auto"/>
              </w:rPr>
              <w:t>16,701</w:t>
            </w:r>
          </w:p>
        </w:tc>
        <w:tc>
          <w:tcPr>
            <w:tcW w:w="14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16,904</w:t>
            </w:r>
          </w:p>
        </w:tc>
        <w:tc>
          <w:tcPr>
            <w:tcW w:w="0" w:type="dxa"/>
            <w:vAlign w:val="bottom"/>
          </w:tcPr>
          <w:p>
            <w:pPr>
              <w:spacing w:after="0"/>
              <w:rPr>
                <w:sz w:val="1"/>
                <w:szCs w:val="1"/>
                <w:color w:val="auto"/>
              </w:rPr>
            </w:pPr>
          </w:p>
        </w:tc>
      </w:tr>
      <w:tr>
        <w:trPr>
          <w:trHeight w:val="20"/>
        </w:trPr>
        <w:tc>
          <w:tcPr>
            <w:tcW w:w="3900" w:type="dxa"/>
            <w:vAlign w:val="bottom"/>
            <w:shd w:val="clear" w:color="auto" w:fill="CCEEFF"/>
          </w:tcPr>
          <w:p>
            <w:pPr>
              <w:spacing w:after="0" w:line="20" w:lineRule="exact"/>
              <w:rPr>
                <w:sz w:val="1"/>
                <w:szCs w:val="1"/>
                <w:color w:val="auto"/>
              </w:rPr>
            </w:pPr>
          </w:p>
        </w:tc>
        <w:tc>
          <w:tcPr>
            <w:tcW w:w="48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tcBorders>
              <w:right w:val="single" w:sz="8" w:color="CCEEFF"/>
            </w:tcBorders>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90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Total liabilities</w:t>
            </w:r>
          </w:p>
        </w:tc>
        <w:tc>
          <w:tcPr>
            <w:tcW w:w="4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tcPr>
          <w:p>
            <w:pPr>
              <w:ind w:left="660"/>
              <w:spacing w:after="0"/>
              <w:rPr>
                <w:sz w:val="20"/>
                <w:szCs w:val="20"/>
                <w:color w:val="auto"/>
              </w:rPr>
            </w:pPr>
            <w:r>
              <w:rPr>
                <w:rFonts w:ascii="Times New Roman" w:cs="Times New Roman" w:eastAsia="Times New Roman" w:hAnsi="Times New Roman"/>
                <w:sz w:val="12"/>
                <w:szCs w:val="12"/>
                <w:color w:val="auto"/>
              </w:rPr>
              <w:t>87,321</w:t>
            </w:r>
          </w:p>
        </w:tc>
        <w:tc>
          <w:tcPr>
            <w:tcW w:w="140" w:type="dxa"/>
            <w:vAlign w:val="bottom"/>
          </w:tcPr>
          <w:p>
            <w:pPr>
              <w:spacing w:after="0"/>
              <w:rPr>
                <w:sz w:val="12"/>
                <w:szCs w:val="12"/>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97,174</w:t>
            </w:r>
          </w:p>
        </w:tc>
        <w:tc>
          <w:tcPr>
            <w:tcW w:w="0" w:type="dxa"/>
            <w:vAlign w:val="bottom"/>
          </w:tcPr>
          <w:p>
            <w:pPr>
              <w:spacing w:after="0"/>
              <w:rPr>
                <w:sz w:val="1"/>
                <w:szCs w:val="1"/>
                <w:color w:val="auto"/>
              </w:rPr>
            </w:pPr>
          </w:p>
        </w:tc>
      </w:tr>
      <w:tr>
        <w:trPr>
          <w:trHeight w:val="144"/>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Stockholders' equity</w:t>
            </w:r>
          </w:p>
        </w:tc>
        <w:tc>
          <w:tcPr>
            <w:tcW w:w="4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173,357</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182,970</w:t>
            </w:r>
          </w:p>
        </w:tc>
        <w:tc>
          <w:tcPr>
            <w:tcW w:w="0" w:type="dxa"/>
            <w:vAlign w:val="bottom"/>
          </w:tcPr>
          <w:p>
            <w:pPr>
              <w:spacing w:after="0"/>
              <w:rPr>
                <w:sz w:val="1"/>
                <w:szCs w:val="1"/>
                <w:color w:val="auto"/>
              </w:rPr>
            </w:pPr>
          </w:p>
        </w:tc>
      </w:tr>
      <w:tr>
        <w:trPr>
          <w:trHeight w:val="20"/>
        </w:trPr>
        <w:tc>
          <w:tcPr>
            <w:tcW w:w="3900" w:type="dxa"/>
            <w:vAlign w:val="bottom"/>
            <w:shd w:val="clear" w:color="auto" w:fill="CCEEFF"/>
          </w:tcPr>
          <w:p>
            <w:pPr>
              <w:spacing w:after="0" w:line="20" w:lineRule="exact"/>
              <w:rPr>
                <w:sz w:val="1"/>
                <w:szCs w:val="1"/>
                <w:color w:val="auto"/>
              </w:rPr>
            </w:pPr>
          </w:p>
        </w:tc>
        <w:tc>
          <w:tcPr>
            <w:tcW w:w="48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tcBorders>
              <w:right w:val="single" w:sz="8" w:color="CCEEFF"/>
            </w:tcBorders>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90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Total Liabilities and Stockholders' Equity</w:t>
            </w:r>
          </w:p>
        </w:tc>
        <w:tc>
          <w:tcPr>
            <w:tcW w:w="4800" w:type="dxa"/>
            <w:vAlign w:val="bottom"/>
          </w:tcPr>
          <w:p>
            <w:pPr>
              <w:spacing w:after="0"/>
              <w:rPr>
                <w:sz w:val="12"/>
                <w:szCs w:val="12"/>
                <w:color w:val="auto"/>
              </w:rPr>
            </w:pPr>
          </w:p>
        </w:tc>
        <w:tc>
          <w:tcPr>
            <w:tcW w:w="1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260,678</w:t>
            </w:r>
          </w:p>
        </w:tc>
        <w:tc>
          <w:tcPr>
            <w:tcW w:w="200" w:type="dxa"/>
            <w:vAlign w:val="bottom"/>
          </w:tcPr>
          <w:p>
            <w:pPr>
              <w:spacing w:after="0"/>
              <w:rPr>
                <w:sz w:val="12"/>
                <w:szCs w:val="12"/>
                <w:color w:val="auto"/>
              </w:rPr>
            </w:pPr>
          </w:p>
        </w:tc>
        <w:tc>
          <w:tcPr>
            <w:tcW w:w="1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280,144</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4800" w:type="dxa"/>
            <w:vAlign w:val="bottom"/>
            <w:vMerge w:val="restart"/>
          </w:tcPr>
          <w:p>
            <w:pPr>
              <w:jc w:val="right"/>
              <w:ind w:right="2944"/>
              <w:spacing w:after="0"/>
              <w:rPr>
                <w:sz w:val="20"/>
                <w:szCs w:val="20"/>
                <w:color w:val="auto"/>
              </w:rPr>
            </w:pPr>
            <w:r>
              <w:rPr>
                <w:rFonts w:ascii="Times New Roman" w:cs="Times New Roman" w:eastAsia="Times New Roman" w:hAnsi="Times New Roman"/>
                <w:sz w:val="10"/>
                <w:szCs w:val="10"/>
                <w:color w:val="auto"/>
              </w:rPr>
              <w:t>15</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6"/>
        </w:trPr>
        <w:tc>
          <w:tcPr>
            <w:tcW w:w="3900" w:type="dxa"/>
            <w:vAlign w:val="bottom"/>
          </w:tcPr>
          <w:p>
            <w:pPr>
              <w:spacing w:after="0"/>
              <w:rPr>
                <w:sz w:val="24"/>
                <w:szCs w:val="24"/>
                <w:color w:val="auto"/>
              </w:rPr>
            </w:pPr>
          </w:p>
        </w:tc>
        <w:tc>
          <w:tcPr>
            <w:tcW w:w="480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3900" w:type="dxa"/>
            <w:vAlign w:val="bottom"/>
            <w:tcBorders>
              <w:bottom w:val="single" w:sz="8" w:color="auto"/>
            </w:tcBorders>
          </w:tcPr>
          <w:p>
            <w:pPr>
              <w:spacing w:after="0"/>
              <w:rPr>
                <w:sz w:val="2"/>
                <w:szCs w:val="2"/>
                <w:color w:val="auto"/>
              </w:rPr>
            </w:pPr>
          </w:p>
        </w:tc>
        <w:tc>
          <w:tcPr>
            <w:tcW w:w="48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300" w:top="125" w:right="299" w:bottom="1440" w:gutter="0" w:footer="0" w:header="0"/>
        </w:sectPr>
      </w:pPr>
    </w:p>
    <w:bookmarkStart w:id="19" w:name="page20"/>
    <w:bookmarkEnd w:id="19"/>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ANGIODYNAMICS, INC. AND SUBSIDIARIES</w:t>
      </w:r>
    </w:p>
    <w:p>
      <w:pPr>
        <w:spacing w:after="0" w:line="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CONSOLIDATED STATEMENTS OF CASH FLOWS</w:t>
      </w:r>
    </w:p>
    <w:p>
      <w:pPr>
        <w:spacing w:after="0" w:line="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(in thousands)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47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560" w:type="dxa"/>
            <w:vAlign w:val="bottom"/>
            <w:gridSpan w:val="5"/>
          </w:tcPr>
          <w:p>
            <w:pPr>
              <w:jc w:val="right"/>
              <w:ind w:right="960"/>
              <w:spacing w:after="0"/>
              <w:rPr>
                <w:sz w:val="20"/>
                <w:szCs w:val="20"/>
                <w:color w:val="auto"/>
              </w:rPr>
            </w:pPr>
            <w:r>
              <w:rPr>
                <w:rFonts w:ascii="Times New Roman" w:cs="Times New Roman" w:eastAsia="Times New Roman" w:hAnsi="Times New Roman"/>
                <w:sz w:val="12"/>
                <w:szCs w:val="12"/>
                <w:color w:val="auto"/>
              </w:rPr>
              <w:t>Three Months Ended</w:t>
            </w:r>
          </w:p>
        </w:tc>
        <w:tc>
          <w:tcPr>
            <w:tcW w:w="160" w:type="dxa"/>
            <w:vAlign w:val="bottom"/>
          </w:tcPr>
          <w:p>
            <w:pPr>
              <w:spacing w:after="0"/>
              <w:rPr>
                <w:sz w:val="13"/>
                <w:szCs w:val="13"/>
                <w:color w:val="auto"/>
              </w:rPr>
            </w:pPr>
          </w:p>
        </w:tc>
        <w:tc>
          <w:tcPr>
            <w:tcW w:w="2420" w:type="dxa"/>
            <w:vAlign w:val="bottom"/>
            <w:gridSpan w:val="5"/>
          </w:tcPr>
          <w:p>
            <w:pPr>
              <w:jc w:val="right"/>
              <w:ind w:right="860"/>
              <w:spacing w:after="0"/>
              <w:rPr>
                <w:sz w:val="20"/>
                <w:szCs w:val="20"/>
                <w:color w:val="auto"/>
              </w:rPr>
            </w:pPr>
            <w:r>
              <w:rPr>
                <w:rFonts w:ascii="Times New Roman" w:cs="Times New Roman" w:eastAsia="Times New Roman" w:hAnsi="Times New Roman"/>
                <w:sz w:val="12"/>
                <w:szCs w:val="12"/>
                <w:color w:val="auto"/>
              </w:rPr>
              <w:t>Nine Months Ended</w:t>
            </w:r>
          </w:p>
        </w:tc>
        <w:tc>
          <w:tcPr>
            <w:tcW w:w="0" w:type="dxa"/>
            <w:vAlign w:val="bottom"/>
          </w:tcPr>
          <w:p>
            <w:pPr>
              <w:spacing w:after="0"/>
              <w:rPr>
                <w:sz w:val="1"/>
                <w:szCs w:val="1"/>
                <w:color w:val="auto"/>
              </w:rPr>
            </w:pPr>
          </w:p>
        </w:tc>
      </w:tr>
      <w:tr>
        <w:trPr>
          <w:trHeight w:val="142"/>
        </w:trPr>
        <w:tc>
          <w:tcPr>
            <w:tcW w:w="47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200"/>
              <w:spacing w:after="0"/>
              <w:rPr>
                <w:sz w:val="20"/>
                <w:szCs w:val="20"/>
                <w:color w:val="auto"/>
              </w:rPr>
            </w:pPr>
            <w:r>
              <w:rPr>
                <w:rFonts w:ascii="Times New Roman" w:cs="Times New Roman" w:eastAsia="Times New Roman" w:hAnsi="Times New Roman"/>
                <w:sz w:val="12"/>
                <w:szCs w:val="12"/>
                <w:color w:val="auto"/>
              </w:rPr>
              <w:t>Feb 28, 2026</w:t>
            </w:r>
          </w:p>
        </w:tc>
        <w:tc>
          <w:tcPr>
            <w:tcW w:w="240" w:type="dxa"/>
            <w:vAlign w:val="bottom"/>
            <w:tcBorders>
              <w:top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180"/>
              <w:spacing w:after="0"/>
              <w:rPr>
                <w:sz w:val="20"/>
                <w:szCs w:val="20"/>
                <w:color w:val="auto"/>
              </w:rPr>
            </w:pPr>
            <w:r>
              <w:rPr>
                <w:rFonts w:ascii="Times New Roman" w:cs="Times New Roman" w:eastAsia="Times New Roman" w:hAnsi="Times New Roman"/>
                <w:sz w:val="12"/>
                <w:szCs w:val="12"/>
                <w:color w:val="auto"/>
              </w:rPr>
              <w:t>Feb 28, 2025</w:t>
            </w:r>
          </w:p>
        </w:tc>
        <w:tc>
          <w:tcPr>
            <w:tcW w:w="22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180"/>
              <w:spacing w:after="0"/>
              <w:rPr>
                <w:sz w:val="20"/>
                <w:szCs w:val="20"/>
                <w:color w:val="auto"/>
              </w:rPr>
            </w:pPr>
            <w:r>
              <w:rPr>
                <w:rFonts w:ascii="Times New Roman" w:cs="Times New Roman" w:eastAsia="Times New Roman" w:hAnsi="Times New Roman"/>
                <w:sz w:val="12"/>
                <w:szCs w:val="12"/>
                <w:color w:val="auto"/>
              </w:rPr>
              <w:t>Feb 28, 2026</w:t>
            </w:r>
          </w:p>
        </w:tc>
        <w:tc>
          <w:tcPr>
            <w:tcW w:w="220" w:type="dxa"/>
            <w:vAlign w:val="bottom"/>
            <w:tcBorders>
              <w:top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180"/>
              <w:spacing w:after="0"/>
              <w:rPr>
                <w:sz w:val="20"/>
                <w:szCs w:val="20"/>
                <w:color w:val="auto"/>
              </w:rPr>
            </w:pPr>
            <w:r>
              <w:rPr>
                <w:rFonts w:ascii="Times New Roman" w:cs="Times New Roman" w:eastAsia="Times New Roman" w:hAnsi="Times New Roman"/>
                <w:sz w:val="12"/>
                <w:szCs w:val="12"/>
                <w:color w:val="auto"/>
              </w:rPr>
              <w:t>Feb 28, 2025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4700" w:type="dxa"/>
            <w:vAlign w:val="bottom"/>
            <w:vMerge w:val="restart"/>
          </w:tcPr>
          <w:p>
            <w:pPr>
              <w:spacing w:after="0"/>
              <w:rPr>
                <w:sz w:val="20"/>
                <w:szCs w:val="20"/>
                <w:color w:val="auto"/>
              </w:rPr>
            </w:pPr>
            <w:r>
              <w:rPr>
                <w:rFonts w:ascii="Times New Roman" w:cs="Times New Roman" w:eastAsia="Times New Roman" w:hAnsi="Times New Roman"/>
                <w:sz w:val="12"/>
                <w:szCs w:val="12"/>
                <w:b w:val="1"/>
                <w:bCs w:val="1"/>
                <w:color w:val="auto"/>
              </w:rPr>
              <w:t>Cash flows from operating activities:</w:t>
            </w:r>
          </w:p>
        </w:tc>
        <w:tc>
          <w:tcPr>
            <w:tcW w:w="1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20" w:type="dxa"/>
            <w:vAlign w:val="bottom"/>
            <w:gridSpan w:val="3"/>
          </w:tcPr>
          <w:p>
            <w:pPr>
              <w:jc w:val="right"/>
              <w:ind w:right="6"/>
              <w:spacing w:after="0"/>
              <w:rPr>
                <w:sz w:val="20"/>
                <w:szCs w:val="20"/>
                <w:color w:val="auto"/>
              </w:rPr>
            </w:pPr>
            <w:r>
              <w:rPr>
                <w:rFonts w:ascii="Times New Roman" w:cs="Times New Roman" w:eastAsia="Times New Roman" w:hAnsi="Times New Roman"/>
                <w:sz w:val="12"/>
                <w:szCs w:val="12"/>
                <w:color w:val="auto"/>
              </w:rPr>
              <w:t>(unaudited)</w:t>
            </w: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(unaudited)</w:t>
            </w: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4700" w:type="dxa"/>
            <w:vAlign w:val="bottom"/>
            <w:vMerge w:val="continue"/>
          </w:tcPr>
          <w:p>
            <w:pPr>
              <w:spacing w:after="0"/>
              <w:rPr>
                <w:sz w:val="11"/>
                <w:szCs w:val="11"/>
                <w:color w:val="auto"/>
              </w:rPr>
            </w:pPr>
          </w:p>
        </w:tc>
        <w:tc>
          <w:tcPr>
            <w:tcW w:w="1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4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Net loss</w:t>
            </w:r>
          </w:p>
        </w:tc>
        <w:tc>
          <w:tcPr>
            <w:tcW w:w="1460" w:type="dxa"/>
            <w:vAlign w:val="bottom"/>
            <w:gridSpan w:val="2"/>
            <w:shd w:val="clear" w:color="auto" w:fill="CCEEFF"/>
          </w:tcPr>
          <w:p>
            <w:pPr>
              <w:jc w:val="right"/>
              <w:ind w:right="46"/>
              <w:spacing w:after="0"/>
              <w:rPr>
                <w:sz w:val="20"/>
                <w:szCs w:val="20"/>
                <w:color w:val="auto"/>
              </w:rPr>
            </w:pPr>
            <w:r>
              <w:rPr>
                <w:rFonts w:ascii="Times New Roman" w:cs="Times New Roman" w:eastAsia="Times New Roman" w:hAnsi="Times New Roman"/>
                <w:sz w:val="12"/>
                <w:szCs w:val="12"/>
                <w:color w:val="auto"/>
              </w:rPr>
              <w:t>$</w:t>
            </w: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(8,084)</w:t>
            </w:r>
          </w:p>
        </w:tc>
        <w:tc>
          <w:tcPr>
            <w:tcW w:w="20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(4,407)</w:t>
            </w:r>
          </w:p>
        </w:tc>
        <w:tc>
          <w:tcPr>
            <w:tcW w:w="16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(25,337)</w:t>
            </w:r>
          </w:p>
        </w:tc>
        <w:tc>
          <w:tcPr>
            <w:tcW w:w="22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(27,943)</w:t>
            </w:r>
          </w:p>
        </w:tc>
        <w:tc>
          <w:tcPr>
            <w:tcW w:w="0" w:type="dxa"/>
            <w:vAlign w:val="bottom"/>
          </w:tcPr>
          <w:p>
            <w:pPr>
              <w:spacing w:after="0"/>
              <w:rPr>
                <w:sz w:val="1"/>
                <w:szCs w:val="1"/>
                <w:color w:val="auto"/>
              </w:rPr>
            </w:pPr>
          </w:p>
        </w:tc>
      </w:tr>
      <w:tr>
        <w:trPr>
          <w:trHeight w:val="144"/>
        </w:trPr>
        <w:tc>
          <w:tcPr>
            <w:tcW w:w="470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Adjustments to reconcile net loss to net cash used in operating activities:</w:t>
            </w:r>
          </w:p>
        </w:tc>
        <w:tc>
          <w:tcPr>
            <w:tcW w:w="1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7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2"/>
                <w:szCs w:val="12"/>
                <w:color w:val="auto"/>
              </w:rPr>
              <w:t>Depreciation and amortization</w:t>
            </w:r>
          </w:p>
        </w:tc>
        <w:tc>
          <w:tcPr>
            <w:tcW w:w="1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5,591</w:t>
            </w: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6,319</w:t>
            </w:r>
          </w:p>
        </w:tc>
        <w:tc>
          <w:tcPr>
            <w:tcW w:w="1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17,358</w:t>
            </w:r>
          </w:p>
        </w:tc>
        <w:tc>
          <w:tcPr>
            <w:tcW w:w="2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19,967</w:t>
            </w:r>
          </w:p>
        </w:tc>
        <w:tc>
          <w:tcPr>
            <w:tcW w:w="0" w:type="dxa"/>
            <w:vAlign w:val="bottom"/>
          </w:tcPr>
          <w:p>
            <w:pPr>
              <w:spacing w:after="0"/>
              <w:rPr>
                <w:sz w:val="1"/>
                <w:szCs w:val="1"/>
                <w:color w:val="auto"/>
              </w:rPr>
            </w:pPr>
          </w:p>
        </w:tc>
      </w:tr>
      <w:tr>
        <w:trPr>
          <w:trHeight w:val="144"/>
        </w:trPr>
        <w:tc>
          <w:tcPr>
            <w:tcW w:w="470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Non-cash lease expense</w:t>
            </w:r>
          </w:p>
        </w:tc>
        <w:tc>
          <w:tcPr>
            <w:tcW w:w="1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350</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503</w:t>
            </w:r>
          </w:p>
        </w:tc>
        <w:tc>
          <w:tcPr>
            <w:tcW w:w="160" w:type="dxa"/>
            <w:vAlign w:val="bottom"/>
          </w:tcPr>
          <w:p>
            <w:pPr>
              <w:spacing w:after="0"/>
              <w:rPr>
                <w:sz w:val="12"/>
                <w:szCs w:val="12"/>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1,200</w:t>
            </w:r>
          </w:p>
        </w:tc>
        <w:tc>
          <w:tcPr>
            <w:tcW w:w="220" w:type="dxa"/>
            <w:vAlign w:val="bottom"/>
          </w:tcPr>
          <w:p>
            <w:pPr>
              <w:spacing w:after="0"/>
              <w:rPr>
                <w:sz w:val="12"/>
                <w:szCs w:val="12"/>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1,496</w:t>
            </w:r>
          </w:p>
        </w:tc>
        <w:tc>
          <w:tcPr>
            <w:tcW w:w="0" w:type="dxa"/>
            <w:vAlign w:val="bottom"/>
          </w:tcPr>
          <w:p>
            <w:pPr>
              <w:spacing w:after="0"/>
              <w:rPr>
                <w:sz w:val="1"/>
                <w:szCs w:val="1"/>
                <w:color w:val="auto"/>
              </w:rPr>
            </w:pPr>
          </w:p>
        </w:tc>
      </w:tr>
      <w:tr>
        <w:trPr>
          <w:trHeight w:val="144"/>
        </w:trPr>
        <w:tc>
          <w:tcPr>
            <w:tcW w:w="47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2"/>
                <w:szCs w:val="12"/>
                <w:color w:val="auto"/>
              </w:rPr>
              <w:t>Non-cash interest expense</w:t>
            </w:r>
          </w:p>
        </w:tc>
        <w:tc>
          <w:tcPr>
            <w:tcW w:w="1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72</w:t>
            </w: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217</w:t>
            </w:r>
          </w:p>
        </w:tc>
        <w:tc>
          <w:tcPr>
            <w:tcW w:w="2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4"/>
        </w:trPr>
        <w:tc>
          <w:tcPr>
            <w:tcW w:w="470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Stock based compensation</w:t>
            </w:r>
          </w:p>
        </w:tc>
        <w:tc>
          <w:tcPr>
            <w:tcW w:w="1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2,684</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2,398</w:t>
            </w:r>
          </w:p>
        </w:tc>
        <w:tc>
          <w:tcPr>
            <w:tcW w:w="160" w:type="dxa"/>
            <w:vAlign w:val="bottom"/>
          </w:tcPr>
          <w:p>
            <w:pPr>
              <w:spacing w:after="0"/>
              <w:rPr>
                <w:sz w:val="12"/>
                <w:szCs w:val="12"/>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10,045</w:t>
            </w:r>
          </w:p>
        </w:tc>
        <w:tc>
          <w:tcPr>
            <w:tcW w:w="220" w:type="dxa"/>
            <w:vAlign w:val="bottom"/>
          </w:tcPr>
          <w:p>
            <w:pPr>
              <w:spacing w:after="0"/>
              <w:rPr>
                <w:sz w:val="12"/>
                <w:szCs w:val="12"/>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8,131</w:t>
            </w:r>
          </w:p>
        </w:tc>
        <w:tc>
          <w:tcPr>
            <w:tcW w:w="0" w:type="dxa"/>
            <w:vAlign w:val="bottom"/>
          </w:tcPr>
          <w:p>
            <w:pPr>
              <w:spacing w:after="0"/>
              <w:rPr>
                <w:sz w:val="1"/>
                <w:szCs w:val="1"/>
                <w:color w:val="auto"/>
              </w:rPr>
            </w:pPr>
          </w:p>
        </w:tc>
      </w:tr>
      <w:tr>
        <w:trPr>
          <w:trHeight w:val="144"/>
        </w:trPr>
        <w:tc>
          <w:tcPr>
            <w:tcW w:w="47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2"/>
                <w:szCs w:val="12"/>
                <w:color w:val="auto"/>
              </w:rPr>
              <w:t>Change in fair value of contingent consideration</w:t>
            </w:r>
          </w:p>
        </w:tc>
        <w:tc>
          <w:tcPr>
            <w:tcW w:w="1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40</w:t>
            </w:r>
          </w:p>
        </w:tc>
        <w:tc>
          <w:tcPr>
            <w:tcW w:w="1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272</w:t>
            </w:r>
          </w:p>
        </w:tc>
        <w:tc>
          <w:tcPr>
            <w:tcW w:w="0" w:type="dxa"/>
            <w:vAlign w:val="bottom"/>
          </w:tcPr>
          <w:p>
            <w:pPr>
              <w:spacing w:after="0"/>
              <w:rPr>
                <w:sz w:val="1"/>
                <w:szCs w:val="1"/>
                <w:color w:val="auto"/>
              </w:rPr>
            </w:pPr>
          </w:p>
        </w:tc>
      </w:tr>
      <w:tr>
        <w:trPr>
          <w:trHeight w:val="144"/>
        </w:trPr>
        <w:tc>
          <w:tcPr>
            <w:tcW w:w="470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Deferred income taxes</w:t>
            </w:r>
          </w:p>
        </w:tc>
        <w:tc>
          <w:tcPr>
            <w:tcW w:w="1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57</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(207)</w:t>
            </w:r>
          </w:p>
        </w:tc>
        <w:tc>
          <w:tcPr>
            <w:tcW w:w="160" w:type="dxa"/>
            <w:vAlign w:val="bottom"/>
          </w:tcPr>
          <w:p>
            <w:pPr>
              <w:spacing w:after="0"/>
              <w:rPr>
                <w:sz w:val="12"/>
                <w:szCs w:val="12"/>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(7)</w:t>
            </w:r>
          </w:p>
        </w:tc>
        <w:tc>
          <w:tcPr>
            <w:tcW w:w="220" w:type="dxa"/>
            <w:vAlign w:val="bottom"/>
          </w:tcPr>
          <w:p>
            <w:pPr>
              <w:spacing w:after="0"/>
              <w:rPr>
                <w:sz w:val="12"/>
                <w:szCs w:val="12"/>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(795)</w:t>
            </w:r>
          </w:p>
        </w:tc>
        <w:tc>
          <w:tcPr>
            <w:tcW w:w="0" w:type="dxa"/>
            <w:vAlign w:val="bottom"/>
          </w:tcPr>
          <w:p>
            <w:pPr>
              <w:spacing w:after="0"/>
              <w:rPr>
                <w:sz w:val="1"/>
                <w:szCs w:val="1"/>
                <w:color w:val="auto"/>
              </w:rPr>
            </w:pPr>
          </w:p>
        </w:tc>
      </w:tr>
      <w:tr>
        <w:trPr>
          <w:trHeight w:val="144"/>
        </w:trPr>
        <w:tc>
          <w:tcPr>
            <w:tcW w:w="47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2"/>
                <w:szCs w:val="12"/>
                <w:color w:val="auto"/>
              </w:rPr>
              <w:t>Change in accounts receivable allowances</w:t>
            </w:r>
          </w:p>
        </w:tc>
        <w:tc>
          <w:tcPr>
            <w:tcW w:w="1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317</w:t>
            </w: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142</w:t>
            </w:r>
          </w:p>
        </w:tc>
        <w:tc>
          <w:tcPr>
            <w:tcW w:w="1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190</w:t>
            </w:r>
          </w:p>
        </w:tc>
        <w:tc>
          <w:tcPr>
            <w:tcW w:w="2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530</w:t>
            </w:r>
          </w:p>
        </w:tc>
        <w:tc>
          <w:tcPr>
            <w:tcW w:w="0" w:type="dxa"/>
            <w:vAlign w:val="bottom"/>
          </w:tcPr>
          <w:p>
            <w:pPr>
              <w:spacing w:after="0"/>
              <w:rPr>
                <w:sz w:val="1"/>
                <w:szCs w:val="1"/>
                <w:color w:val="auto"/>
              </w:rPr>
            </w:pPr>
          </w:p>
        </w:tc>
      </w:tr>
      <w:tr>
        <w:trPr>
          <w:trHeight w:val="144"/>
        </w:trPr>
        <w:tc>
          <w:tcPr>
            <w:tcW w:w="470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Fixed and intangible asset disposals</w:t>
            </w:r>
          </w:p>
        </w:tc>
        <w:tc>
          <w:tcPr>
            <w:tcW w:w="1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38</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38</w:t>
            </w:r>
          </w:p>
        </w:tc>
        <w:tc>
          <w:tcPr>
            <w:tcW w:w="160" w:type="dxa"/>
            <w:vAlign w:val="bottom"/>
          </w:tcPr>
          <w:p>
            <w:pPr>
              <w:spacing w:after="0"/>
              <w:rPr>
                <w:sz w:val="12"/>
                <w:szCs w:val="12"/>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318</w:t>
            </w:r>
          </w:p>
        </w:tc>
        <w:tc>
          <w:tcPr>
            <w:tcW w:w="220" w:type="dxa"/>
            <w:vAlign w:val="bottom"/>
          </w:tcPr>
          <w:p>
            <w:pPr>
              <w:spacing w:after="0"/>
              <w:rPr>
                <w:sz w:val="12"/>
                <w:szCs w:val="12"/>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97</w:t>
            </w:r>
          </w:p>
        </w:tc>
        <w:tc>
          <w:tcPr>
            <w:tcW w:w="0" w:type="dxa"/>
            <w:vAlign w:val="bottom"/>
          </w:tcPr>
          <w:p>
            <w:pPr>
              <w:spacing w:after="0"/>
              <w:rPr>
                <w:sz w:val="1"/>
                <w:szCs w:val="1"/>
                <w:color w:val="auto"/>
              </w:rPr>
            </w:pPr>
          </w:p>
        </w:tc>
      </w:tr>
      <w:tr>
        <w:trPr>
          <w:trHeight w:val="144"/>
        </w:trPr>
        <w:tc>
          <w:tcPr>
            <w:tcW w:w="47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2"/>
                <w:szCs w:val="12"/>
                <w:color w:val="auto"/>
              </w:rPr>
              <w:t>Other</w:t>
            </w:r>
          </w:p>
        </w:tc>
        <w:tc>
          <w:tcPr>
            <w:tcW w:w="1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315</w:t>
            </w: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30</w:t>
            </w:r>
          </w:p>
        </w:tc>
        <w:tc>
          <w:tcPr>
            <w:tcW w:w="1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817</w:t>
            </w:r>
          </w:p>
        </w:tc>
        <w:tc>
          <w:tcPr>
            <w:tcW w:w="2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149</w:t>
            </w:r>
          </w:p>
        </w:tc>
        <w:tc>
          <w:tcPr>
            <w:tcW w:w="0" w:type="dxa"/>
            <w:vAlign w:val="bottom"/>
          </w:tcPr>
          <w:p>
            <w:pPr>
              <w:spacing w:after="0"/>
              <w:rPr>
                <w:sz w:val="1"/>
                <w:szCs w:val="1"/>
                <w:color w:val="auto"/>
              </w:rPr>
            </w:pPr>
          </w:p>
        </w:tc>
      </w:tr>
      <w:tr>
        <w:trPr>
          <w:trHeight w:val="144"/>
        </w:trPr>
        <w:tc>
          <w:tcPr>
            <w:tcW w:w="470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Changes in operating assets and liabilities:</w:t>
            </w:r>
          </w:p>
        </w:tc>
        <w:tc>
          <w:tcPr>
            <w:tcW w:w="1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7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2"/>
                <w:szCs w:val="12"/>
                <w:color w:val="auto"/>
              </w:rPr>
              <w:t>Accounts receivable</w:t>
            </w:r>
          </w:p>
        </w:tc>
        <w:tc>
          <w:tcPr>
            <w:tcW w:w="1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(1,418)</w:t>
            </w:r>
          </w:p>
        </w:tc>
        <w:tc>
          <w:tcPr>
            <w:tcW w:w="2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(474)</w:t>
            </w:r>
          </w:p>
        </w:tc>
        <w:tc>
          <w:tcPr>
            <w:tcW w:w="1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(2,847)</w:t>
            </w:r>
          </w:p>
        </w:tc>
        <w:tc>
          <w:tcPr>
            <w:tcW w:w="2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(424)</w:t>
            </w:r>
          </w:p>
        </w:tc>
        <w:tc>
          <w:tcPr>
            <w:tcW w:w="0" w:type="dxa"/>
            <w:vAlign w:val="bottom"/>
          </w:tcPr>
          <w:p>
            <w:pPr>
              <w:spacing w:after="0"/>
              <w:rPr>
                <w:sz w:val="1"/>
                <w:szCs w:val="1"/>
                <w:color w:val="auto"/>
              </w:rPr>
            </w:pPr>
          </w:p>
        </w:tc>
      </w:tr>
      <w:tr>
        <w:trPr>
          <w:trHeight w:val="144"/>
        </w:trPr>
        <w:tc>
          <w:tcPr>
            <w:tcW w:w="470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Inventories</w:t>
            </w:r>
          </w:p>
        </w:tc>
        <w:tc>
          <w:tcPr>
            <w:tcW w:w="1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7,057</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2,810</w:t>
            </w:r>
          </w:p>
        </w:tc>
        <w:tc>
          <w:tcPr>
            <w:tcW w:w="160" w:type="dxa"/>
            <w:vAlign w:val="bottom"/>
          </w:tcPr>
          <w:p>
            <w:pPr>
              <w:spacing w:after="0"/>
              <w:rPr>
                <w:sz w:val="12"/>
                <w:szCs w:val="12"/>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3,584</w:t>
            </w:r>
          </w:p>
        </w:tc>
        <w:tc>
          <w:tcPr>
            <w:tcW w:w="220" w:type="dxa"/>
            <w:vAlign w:val="bottom"/>
          </w:tcPr>
          <w:p>
            <w:pPr>
              <w:spacing w:after="0"/>
              <w:rPr>
                <w:sz w:val="12"/>
                <w:szCs w:val="12"/>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(2,493)</w:t>
            </w:r>
          </w:p>
        </w:tc>
        <w:tc>
          <w:tcPr>
            <w:tcW w:w="0" w:type="dxa"/>
            <w:vAlign w:val="bottom"/>
          </w:tcPr>
          <w:p>
            <w:pPr>
              <w:spacing w:after="0"/>
              <w:rPr>
                <w:sz w:val="1"/>
                <w:szCs w:val="1"/>
                <w:color w:val="auto"/>
              </w:rPr>
            </w:pPr>
          </w:p>
        </w:tc>
      </w:tr>
      <w:tr>
        <w:trPr>
          <w:trHeight w:val="144"/>
        </w:trPr>
        <w:tc>
          <w:tcPr>
            <w:tcW w:w="47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2"/>
                <w:szCs w:val="12"/>
                <w:color w:val="auto"/>
              </w:rPr>
              <w:t>Prepaid expenses and other</w:t>
            </w:r>
          </w:p>
        </w:tc>
        <w:tc>
          <w:tcPr>
            <w:tcW w:w="1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(4,077)</w:t>
            </w:r>
          </w:p>
        </w:tc>
        <w:tc>
          <w:tcPr>
            <w:tcW w:w="2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(9,387)</w:t>
            </w:r>
          </w:p>
        </w:tc>
        <w:tc>
          <w:tcPr>
            <w:tcW w:w="1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(6,372)</w:t>
            </w:r>
          </w:p>
        </w:tc>
        <w:tc>
          <w:tcPr>
            <w:tcW w:w="2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(9,459)</w:t>
            </w:r>
          </w:p>
        </w:tc>
        <w:tc>
          <w:tcPr>
            <w:tcW w:w="0" w:type="dxa"/>
            <w:vAlign w:val="bottom"/>
          </w:tcPr>
          <w:p>
            <w:pPr>
              <w:spacing w:after="0"/>
              <w:rPr>
                <w:sz w:val="1"/>
                <w:szCs w:val="1"/>
                <w:color w:val="auto"/>
              </w:rPr>
            </w:pPr>
          </w:p>
        </w:tc>
      </w:tr>
      <w:tr>
        <w:trPr>
          <w:trHeight w:val="144"/>
        </w:trPr>
        <w:tc>
          <w:tcPr>
            <w:tcW w:w="470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Accounts payable, accrued and other liabilities</w:t>
            </w:r>
          </w:p>
        </w:tc>
        <w:tc>
          <w:tcPr>
            <w:tcW w:w="1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(6,012)</w:t>
            </w:r>
          </w:p>
        </w:tc>
        <w:tc>
          <w:tcPr>
            <w:tcW w:w="200" w:type="dxa"/>
            <w:vAlign w:val="bottom"/>
          </w:tcPr>
          <w:p>
            <w:pPr>
              <w:spacing w:after="0"/>
              <w:rPr>
                <w:sz w:val="12"/>
                <w:szCs w:val="12"/>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(10,964)</w:t>
            </w:r>
          </w:p>
        </w:tc>
        <w:tc>
          <w:tcPr>
            <w:tcW w:w="160" w:type="dxa"/>
            <w:vAlign w:val="bottom"/>
          </w:tcPr>
          <w:p>
            <w:pPr>
              <w:spacing w:after="0"/>
              <w:rPr>
                <w:sz w:val="12"/>
                <w:szCs w:val="12"/>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(13,529)</w:t>
            </w:r>
          </w:p>
        </w:tc>
        <w:tc>
          <w:tcPr>
            <w:tcW w:w="220" w:type="dxa"/>
            <w:vAlign w:val="bottom"/>
          </w:tcPr>
          <w:p>
            <w:pPr>
              <w:spacing w:after="0"/>
              <w:rPr>
                <w:sz w:val="12"/>
                <w:szCs w:val="12"/>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(18,467)</w:t>
            </w:r>
          </w:p>
        </w:tc>
        <w:tc>
          <w:tcPr>
            <w:tcW w:w="0" w:type="dxa"/>
            <w:vAlign w:val="bottom"/>
          </w:tcPr>
          <w:p>
            <w:pPr>
              <w:spacing w:after="0"/>
              <w:rPr>
                <w:sz w:val="1"/>
                <w:szCs w:val="1"/>
                <w:color w:val="auto"/>
              </w:rPr>
            </w:pPr>
          </w:p>
        </w:tc>
      </w:tr>
      <w:tr>
        <w:trPr>
          <w:trHeight w:val="142"/>
        </w:trPr>
        <w:tc>
          <w:tcPr>
            <w:tcW w:w="470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2"/>
                <w:szCs w:val="12"/>
                <w:b w:val="1"/>
                <w:bCs w:val="1"/>
                <w:color w:val="auto"/>
              </w:rPr>
              <w:t>Net cash used in operating activities</w:t>
            </w:r>
          </w:p>
        </w:tc>
        <w:tc>
          <w:tcPr>
            <w:tcW w:w="130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spacing w:after="0"/>
              <w:rPr>
                <w:sz w:val="12"/>
                <w:szCs w:val="12"/>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(3,110)</w:t>
            </w:r>
          </w:p>
        </w:tc>
        <w:tc>
          <w:tcPr>
            <w:tcW w:w="24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top w:val="single" w:sz="8" w:color="auto"/>
              <w:bottom w:val="single" w:sz="8" w:color="auto"/>
            </w:tcBorders>
            <w:shd w:val="clear" w:color="auto" w:fill="CCEEFF"/>
          </w:tcPr>
          <w:p>
            <w:pPr>
              <w:spacing w:after="0"/>
              <w:rPr>
                <w:sz w:val="12"/>
                <w:szCs w:val="12"/>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(13,159)</w:t>
            </w:r>
          </w:p>
        </w:tc>
        <w:tc>
          <w:tcPr>
            <w:tcW w:w="22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spacing w:after="0"/>
              <w:rPr>
                <w:sz w:val="12"/>
                <w:szCs w:val="12"/>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(14,363)</w:t>
            </w:r>
          </w:p>
        </w:tc>
        <w:tc>
          <w:tcPr>
            <w:tcW w:w="22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top w:val="single" w:sz="8" w:color="auto"/>
              <w:bottom w:val="single" w:sz="8" w:color="auto"/>
            </w:tcBorders>
            <w:shd w:val="clear" w:color="auto" w:fill="CCEEFF"/>
          </w:tcPr>
          <w:p>
            <w:pPr>
              <w:spacing w:after="0"/>
              <w:rPr>
                <w:sz w:val="12"/>
                <w:szCs w:val="12"/>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(28,939)</w:t>
            </w:r>
          </w:p>
        </w:tc>
        <w:tc>
          <w:tcPr>
            <w:tcW w:w="12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7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Cash flows from investing activities:</w:t>
            </w:r>
          </w:p>
        </w:tc>
        <w:tc>
          <w:tcPr>
            <w:tcW w:w="1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7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2"/>
                <w:szCs w:val="12"/>
                <w:color w:val="auto"/>
              </w:rPr>
              <w:t>Additions to property, plant and equipment</w:t>
            </w:r>
          </w:p>
        </w:tc>
        <w:tc>
          <w:tcPr>
            <w:tcW w:w="1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(1,015)</w:t>
            </w:r>
          </w:p>
        </w:tc>
        <w:tc>
          <w:tcPr>
            <w:tcW w:w="2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(1,798)</w:t>
            </w:r>
          </w:p>
        </w:tc>
        <w:tc>
          <w:tcPr>
            <w:tcW w:w="1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(2,168)</w:t>
            </w:r>
          </w:p>
        </w:tc>
        <w:tc>
          <w:tcPr>
            <w:tcW w:w="2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(3,687)</w:t>
            </w:r>
          </w:p>
        </w:tc>
        <w:tc>
          <w:tcPr>
            <w:tcW w:w="0" w:type="dxa"/>
            <w:vAlign w:val="bottom"/>
          </w:tcPr>
          <w:p>
            <w:pPr>
              <w:spacing w:after="0"/>
              <w:rPr>
                <w:sz w:val="1"/>
                <w:szCs w:val="1"/>
                <w:color w:val="auto"/>
              </w:rPr>
            </w:pPr>
          </w:p>
        </w:tc>
      </w:tr>
      <w:tr>
        <w:trPr>
          <w:trHeight w:val="144"/>
        </w:trPr>
        <w:tc>
          <w:tcPr>
            <w:tcW w:w="470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Additions to placement and evaluation units</w:t>
            </w:r>
          </w:p>
        </w:tc>
        <w:tc>
          <w:tcPr>
            <w:tcW w:w="1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(492)</w:t>
            </w:r>
          </w:p>
        </w:tc>
        <w:tc>
          <w:tcPr>
            <w:tcW w:w="200" w:type="dxa"/>
            <w:vAlign w:val="bottom"/>
          </w:tcPr>
          <w:p>
            <w:pPr>
              <w:spacing w:after="0"/>
              <w:rPr>
                <w:sz w:val="12"/>
                <w:szCs w:val="12"/>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(1,391)</w:t>
            </w:r>
          </w:p>
        </w:tc>
        <w:tc>
          <w:tcPr>
            <w:tcW w:w="160" w:type="dxa"/>
            <w:vAlign w:val="bottom"/>
          </w:tcPr>
          <w:p>
            <w:pPr>
              <w:spacing w:after="0"/>
              <w:rPr>
                <w:sz w:val="12"/>
                <w:szCs w:val="12"/>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(2,511)</w:t>
            </w:r>
          </w:p>
        </w:tc>
        <w:tc>
          <w:tcPr>
            <w:tcW w:w="220" w:type="dxa"/>
            <w:vAlign w:val="bottom"/>
          </w:tcPr>
          <w:p>
            <w:pPr>
              <w:spacing w:after="0"/>
              <w:rPr>
                <w:sz w:val="12"/>
                <w:szCs w:val="12"/>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(3,868)</w:t>
            </w:r>
          </w:p>
        </w:tc>
        <w:tc>
          <w:tcPr>
            <w:tcW w:w="0" w:type="dxa"/>
            <w:vAlign w:val="bottom"/>
          </w:tcPr>
          <w:p>
            <w:pPr>
              <w:spacing w:after="0"/>
              <w:rPr>
                <w:sz w:val="1"/>
                <w:szCs w:val="1"/>
                <w:color w:val="auto"/>
              </w:rPr>
            </w:pPr>
          </w:p>
        </w:tc>
      </w:tr>
      <w:tr>
        <w:trPr>
          <w:trHeight w:val="142"/>
        </w:trPr>
        <w:tc>
          <w:tcPr>
            <w:tcW w:w="470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2"/>
                <w:szCs w:val="12"/>
                <w:b w:val="1"/>
                <w:bCs w:val="1"/>
                <w:color w:val="auto"/>
              </w:rPr>
              <w:t>Net cash used in investing activities</w:t>
            </w:r>
          </w:p>
        </w:tc>
        <w:tc>
          <w:tcPr>
            <w:tcW w:w="130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spacing w:after="0"/>
              <w:rPr>
                <w:sz w:val="12"/>
                <w:szCs w:val="12"/>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(1,507)</w:t>
            </w:r>
          </w:p>
        </w:tc>
        <w:tc>
          <w:tcPr>
            <w:tcW w:w="24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top w:val="single" w:sz="8" w:color="auto"/>
              <w:bottom w:val="single" w:sz="8" w:color="auto"/>
            </w:tcBorders>
            <w:shd w:val="clear" w:color="auto" w:fill="CCEEFF"/>
          </w:tcPr>
          <w:p>
            <w:pPr>
              <w:spacing w:after="0"/>
              <w:rPr>
                <w:sz w:val="12"/>
                <w:szCs w:val="12"/>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(3,189)</w:t>
            </w:r>
          </w:p>
        </w:tc>
        <w:tc>
          <w:tcPr>
            <w:tcW w:w="22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spacing w:after="0"/>
              <w:rPr>
                <w:sz w:val="12"/>
                <w:szCs w:val="12"/>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(4,679)</w:t>
            </w:r>
          </w:p>
        </w:tc>
        <w:tc>
          <w:tcPr>
            <w:tcW w:w="22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top w:val="single" w:sz="8" w:color="auto"/>
              <w:bottom w:val="single" w:sz="8" w:color="auto"/>
            </w:tcBorders>
            <w:shd w:val="clear" w:color="auto" w:fill="CCEEFF"/>
          </w:tcPr>
          <w:p>
            <w:pPr>
              <w:spacing w:after="0"/>
              <w:rPr>
                <w:sz w:val="12"/>
                <w:szCs w:val="12"/>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(7,555)</w:t>
            </w:r>
          </w:p>
        </w:tc>
        <w:tc>
          <w:tcPr>
            <w:tcW w:w="12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7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Cash flows from financing activities:</w:t>
            </w:r>
          </w:p>
        </w:tc>
        <w:tc>
          <w:tcPr>
            <w:tcW w:w="1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7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2"/>
                <w:szCs w:val="12"/>
                <w:color w:val="auto"/>
              </w:rPr>
              <w:t>Proceeds from financing arrangement</w:t>
            </w:r>
          </w:p>
        </w:tc>
        <w:tc>
          <w:tcPr>
            <w:tcW w:w="1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6,310</w:t>
            </w:r>
          </w:p>
        </w:tc>
        <w:tc>
          <w:tcPr>
            <w:tcW w:w="1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6,310</w:t>
            </w:r>
          </w:p>
        </w:tc>
        <w:tc>
          <w:tcPr>
            <w:tcW w:w="0" w:type="dxa"/>
            <w:vAlign w:val="bottom"/>
          </w:tcPr>
          <w:p>
            <w:pPr>
              <w:spacing w:after="0"/>
              <w:rPr>
                <w:sz w:val="1"/>
                <w:szCs w:val="1"/>
                <w:color w:val="auto"/>
              </w:rPr>
            </w:pPr>
          </w:p>
        </w:tc>
      </w:tr>
      <w:tr>
        <w:trPr>
          <w:trHeight w:val="144"/>
        </w:trPr>
        <w:tc>
          <w:tcPr>
            <w:tcW w:w="470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Principal payments on finance arrangements</w:t>
            </w:r>
          </w:p>
        </w:tc>
        <w:tc>
          <w:tcPr>
            <w:tcW w:w="1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(95)</w:t>
            </w:r>
          </w:p>
        </w:tc>
        <w:tc>
          <w:tcPr>
            <w:tcW w:w="200" w:type="dxa"/>
            <w:vAlign w:val="bottom"/>
          </w:tcPr>
          <w:p>
            <w:pPr>
              <w:spacing w:after="0"/>
              <w:rPr>
                <w:sz w:val="12"/>
                <w:szCs w:val="12"/>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(58)</w:t>
            </w:r>
          </w:p>
        </w:tc>
        <w:tc>
          <w:tcPr>
            <w:tcW w:w="160" w:type="dxa"/>
            <w:vAlign w:val="bottom"/>
          </w:tcPr>
          <w:p>
            <w:pPr>
              <w:spacing w:after="0"/>
              <w:rPr>
                <w:sz w:val="12"/>
                <w:szCs w:val="12"/>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(278)</w:t>
            </w:r>
          </w:p>
        </w:tc>
        <w:tc>
          <w:tcPr>
            <w:tcW w:w="220" w:type="dxa"/>
            <w:vAlign w:val="bottom"/>
          </w:tcPr>
          <w:p>
            <w:pPr>
              <w:spacing w:after="0"/>
              <w:rPr>
                <w:sz w:val="12"/>
                <w:szCs w:val="12"/>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(58)</w:t>
            </w:r>
          </w:p>
        </w:tc>
        <w:tc>
          <w:tcPr>
            <w:tcW w:w="0" w:type="dxa"/>
            <w:vAlign w:val="bottom"/>
          </w:tcPr>
          <w:p>
            <w:pPr>
              <w:spacing w:after="0"/>
              <w:rPr>
                <w:sz w:val="1"/>
                <w:szCs w:val="1"/>
                <w:color w:val="auto"/>
              </w:rPr>
            </w:pPr>
          </w:p>
        </w:tc>
      </w:tr>
      <w:tr>
        <w:trPr>
          <w:trHeight w:val="144"/>
        </w:trPr>
        <w:tc>
          <w:tcPr>
            <w:tcW w:w="47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2"/>
                <w:szCs w:val="12"/>
                <w:color w:val="auto"/>
              </w:rPr>
              <w:t>Repurchase of common stock</w:t>
            </w:r>
          </w:p>
        </w:tc>
        <w:tc>
          <w:tcPr>
            <w:tcW w:w="1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(1,670)</w:t>
            </w:r>
          </w:p>
        </w:tc>
        <w:tc>
          <w:tcPr>
            <w:tcW w:w="0" w:type="dxa"/>
            <w:vAlign w:val="bottom"/>
          </w:tcPr>
          <w:p>
            <w:pPr>
              <w:spacing w:after="0"/>
              <w:rPr>
                <w:sz w:val="1"/>
                <w:szCs w:val="1"/>
                <w:color w:val="auto"/>
              </w:rPr>
            </w:pPr>
          </w:p>
        </w:tc>
      </w:tr>
      <w:tr>
        <w:trPr>
          <w:trHeight w:val="144"/>
        </w:trPr>
        <w:tc>
          <w:tcPr>
            <w:tcW w:w="470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Proceeds from exercise of stock options and employee stock purchase plan</w:t>
            </w:r>
          </w:p>
        </w:tc>
        <w:tc>
          <w:tcPr>
            <w:tcW w:w="1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716</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895</w:t>
            </w:r>
          </w:p>
        </w:tc>
        <w:tc>
          <w:tcPr>
            <w:tcW w:w="160" w:type="dxa"/>
            <w:vAlign w:val="bottom"/>
          </w:tcPr>
          <w:p>
            <w:pPr>
              <w:spacing w:after="0"/>
              <w:rPr>
                <w:sz w:val="12"/>
                <w:szCs w:val="12"/>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950</w:t>
            </w:r>
          </w:p>
        </w:tc>
        <w:tc>
          <w:tcPr>
            <w:tcW w:w="220" w:type="dxa"/>
            <w:vAlign w:val="bottom"/>
          </w:tcPr>
          <w:p>
            <w:pPr>
              <w:spacing w:after="0"/>
              <w:rPr>
                <w:sz w:val="12"/>
                <w:szCs w:val="12"/>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933</w:t>
            </w:r>
          </w:p>
        </w:tc>
        <w:tc>
          <w:tcPr>
            <w:tcW w:w="0" w:type="dxa"/>
            <w:vAlign w:val="bottom"/>
          </w:tcPr>
          <w:p>
            <w:pPr>
              <w:spacing w:after="0"/>
              <w:rPr>
                <w:sz w:val="1"/>
                <w:szCs w:val="1"/>
                <w:color w:val="auto"/>
              </w:rPr>
            </w:pPr>
          </w:p>
        </w:tc>
      </w:tr>
      <w:tr>
        <w:trPr>
          <w:trHeight w:val="142"/>
        </w:trPr>
        <w:tc>
          <w:tcPr>
            <w:tcW w:w="470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2"/>
                <w:szCs w:val="12"/>
                <w:b w:val="1"/>
                <w:bCs w:val="1"/>
                <w:color w:val="auto"/>
              </w:rPr>
              <w:t>Net cash provided by financing activities</w:t>
            </w:r>
          </w:p>
        </w:tc>
        <w:tc>
          <w:tcPr>
            <w:tcW w:w="130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spacing w:after="0"/>
              <w:rPr>
                <w:sz w:val="12"/>
                <w:szCs w:val="12"/>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621</w:t>
            </w:r>
          </w:p>
        </w:tc>
        <w:tc>
          <w:tcPr>
            <w:tcW w:w="24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top w:val="single" w:sz="8" w:color="auto"/>
              <w:bottom w:val="single" w:sz="8" w:color="auto"/>
            </w:tcBorders>
            <w:shd w:val="clear" w:color="auto" w:fill="CCEEFF"/>
          </w:tcPr>
          <w:p>
            <w:pPr>
              <w:spacing w:after="0"/>
              <w:rPr>
                <w:sz w:val="12"/>
                <w:szCs w:val="12"/>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7,147</w:t>
            </w:r>
          </w:p>
        </w:tc>
        <w:tc>
          <w:tcPr>
            <w:tcW w:w="22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spacing w:after="0"/>
              <w:rPr>
                <w:sz w:val="12"/>
                <w:szCs w:val="12"/>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672</w:t>
            </w:r>
          </w:p>
        </w:tc>
        <w:tc>
          <w:tcPr>
            <w:tcW w:w="22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top w:val="single" w:sz="8" w:color="auto"/>
              <w:bottom w:val="single" w:sz="8" w:color="auto"/>
            </w:tcBorders>
            <w:shd w:val="clear" w:color="auto" w:fill="CCEEFF"/>
          </w:tcPr>
          <w:p>
            <w:pPr>
              <w:spacing w:after="0"/>
              <w:rPr>
                <w:sz w:val="12"/>
                <w:szCs w:val="12"/>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5,515</w:t>
            </w:r>
          </w:p>
        </w:tc>
        <w:tc>
          <w:tcPr>
            <w:tcW w:w="12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70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Effect of exchange rate changes on cash</w:t>
            </w:r>
          </w:p>
        </w:tc>
        <w:tc>
          <w:tcPr>
            <w:tcW w:w="1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168</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(128)</w:t>
            </w:r>
          </w:p>
        </w:tc>
        <w:tc>
          <w:tcPr>
            <w:tcW w:w="160" w:type="dxa"/>
            <w:vAlign w:val="bottom"/>
          </w:tcPr>
          <w:p>
            <w:pPr>
              <w:spacing w:after="0"/>
              <w:rPr>
                <w:sz w:val="12"/>
                <w:szCs w:val="12"/>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287</w:t>
            </w:r>
          </w:p>
        </w:tc>
        <w:tc>
          <w:tcPr>
            <w:tcW w:w="220" w:type="dxa"/>
            <w:vAlign w:val="bottom"/>
          </w:tcPr>
          <w:p>
            <w:pPr>
              <w:spacing w:after="0"/>
              <w:rPr>
                <w:sz w:val="12"/>
                <w:szCs w:val="12"/>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(317)</w:t>
            </w:r>
          </w:p>
        </w:tc>
        <w:tc>
          <w:tcPr>
            <w:tcW w:w="0" w:type="dxa"/>
            <w:vAlign w:val="bottom"/>
          </w:tcPr>
          <w:p>
            <w:pPr>
              <w:spacing w:after="0"/>
              <w:rPr>
                <w:sz w:val="1"/>
                <w:szCs w:val="1"/>
                <w:color w:val="auto"/>
              </w:rPr>
            </w:pPr>
          </w:p>
        </w:tc>
      </w:tr>
      <w:tr>
        <w:trPr>
          <w:trHeight w:val="142"/>
        </w:trPr>
        <w:tc>
          <w:tcPr>
            <w:tcW w:w="47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2"/>
                <w:szCs w:val="12"/>
                <w:b w:val="1"/>
                <w:bCs w:val="1"/>
                <w:color w:val="auto"/>
              </w:rPr>
              <w:t>Decrease in cash</w:t>
            </w:r>
          </w:p>
        </w:tc>
        <w:tc>
          <w:tcPr>
            <w:tcW w:w="1300" w:type="dxa"/>
            <w:vAlign w:val="bottom"/>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(3,828)</w:t>
            </w:r>
          </w:p>
        </w:tc>
        <w:tc>
          <w:tcPr>
            <w:tcW w:w="240" w:type="dxa"/>
            <w:vAlign w:val="bottom"/>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(9,329)</w:t>
            </w:r>
          </w:p>
        </w:tc>
        <w:tc>
          <w:tcPr>
            <w:tcW w:w="220" w:type="dxa"/>
            <w:vAlign w:val="bottom"/>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(18,083)</w:t>
            </w:r>
          </w:p>
        </w:tc>
        <w:tc>
          <w:tcPr>
            <w:tcW w:w="220" w:type="dxa"/>
            <w:vAlign w:val="bottom"/>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(31,296)</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70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Cash at beginning of period</w:t>
            </w:r>
          </w:p>
        </w:tc>
        <w:tc>
          <w:tcPr>
            <w:tcW w:w="1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41,638</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54,089</w:t>
            </w:r>
          </w:p>
        </w:tc>
        <w:tc>
          <w:tcPr>
            <w:tcW w:w="160" w:type="dxa"/>
            <w:vAlign w:val="bottom"/>
          </w:tcPr>
          <w:p>
            <w:pPr>
              <w:spacing w:after="0"/>
              <w:rPr>
                <w:sz w:val="12"/>
                <w:szCs w:val="12"/>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55,893</w:t>
            </w:r>
          </w:p>
        </w:tc>
        <w:tc>
          <w:tcPr>
            <w:tcW w:w="220" w:type="dxa"/>
            <w:vAlign w:val="bottom"/>
          </w:tcPr>
          <w:p>
            <w:pPr>
              <w:spacing w:after="0"/>
              <w:rPr>
                <w:sz w:val="12"/>
                <w:szCs w:val="12"/>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76,056</w:t>
            </w:r>
          </w:p>
        </w:tc>
        <w:tc>
          <w:tcPr>
            <w:tcW w:w="0" w:type="dxa"/>
            <w:vAlign w:val="bottom"/>
          </w:tcPr>
          <w:p>
            <w:pPr>
              <w:spacing w:after="0"/>
              <w:rPr>
                <w:sz w:val="1"/>
                <w:szCs w:val="1"/>
                <w:color w:val="auto"/>
              </w:rPr>
            </w:pPr>
          </w:p>
        </w:tc>
      </w:tr>
      <w:tr>
        <w:trPr>
          <w:trHeight w:val="182"/>
        </w:trPr>
        <w:tc>
          <w:tcPr>
            <w:tcW w:w="47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2"/>
                <w:szCs w:val="12"/>
                <w:b w:val="1"/>
                <w:bCs w:val="1"/>
                <w:color w:val="auto"/>
              </w:rPr>
              <w:t>Cash at end of period</w:t>
            </w:r>
          </w:p>
        </w:tc>
        <w:tc>
          <w:tcPr>
            <w:tcW w:w="13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37,810</w:t>
            </w:r>
          </w:p>
        </w:tc>
        <w:tc>
          <w:tcPr>
            <w:tcW w:w="24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44,760</w:t>
            </w:r>
          </w:p>
        </w:tc>
        <w:tc>
          <w:tcPr>
            <w:tcW w:w="2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37,810</w:t>
            </w:r>
          </w:p>
        </w:tc>
        <w:tc>
          <w:tcPr>
            <w:tcW w:w="2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auto"/>
            </w:tcBorders>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44,760</w:t>
            </w:r>
          </w:p>
        </w:tc>
        <w:tc>
          <w:tcPr>
            <w:tcW w:w="12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373"/>
        </w:trPr>
        <w:tc>
          <w:tcPr>
            <w:tcW w:w="4700" w:type="dxa"/>
            <w:vAlign w:val="bottom"/>
          </w:tcPr>
          <w:p>
            <w:pPr>
              <w:spacing w:after="0"/>
              <w:rPr>
                <w:sz w:val="24"/>
                <w:szCs w:val="24"/>
                <w:color w:val="auto"/>
              </w:rPr>
            </w:pPr>
          </w:p>
        </w:tc>
        <w:tc>
          <w:tcPr>
            <w:tcW w:w="1300" w:type="dxa"/>
            <w:vAlign w:val="bottom"/>
          </w:tcPr>
          <w:p>
            <w:pPr>
              <w:jc w:val="right"/>
              <w:ind w:right="246"/>
              <w:spacing w:after="0"/>
              <w:rPr>
                <w:sz w:val="20"/>
                <w:szCs w:val="20"/>
                <w:color w:val="auto"/>
              </w:rPr>
            </w:pPr>
            <w:r>
              <w:rPr>
                <w:rFonts w:ascii="Times New Roman" w:cs="Times New Roman" w:eastAsia="Times New Roman" w:hAnsi="Times New Roman"/>
                <w:sz w:val="10"/>
                <w:szCs w:val="10"/>
                <w:color w:val="auto"/>
              </w:rPr>
              <w:t>16</w:t>
            </w: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
        </w:trPr>
        <w:tc>
          <w:tcPr>
            <w:tcW w:w="470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300" w:top="125" w:right="299" w:bottom="1440" w:gutter="0" w:footer="0" w:header="0"/>
        </w:sectPr>
      </w:pPr>
    </w:p>
    <w:bookmarkStart w:id="20" w:name="page21"/>
    <w:bookmarkEnd w:id="20"/>
    <w:p>
      <w:pPr>
        <w:ind w:left="9540"/>
        <w:spacing w:after="0"/>
        <w:rPr>
          <w:sz w:val="20"/>
          <w:szCs w:val="20"/>
          <w:color w:val="auto"/>
        </w:rPr>
      </w:pPr>
      <w:r>
        <w:rPr>
          <w:rFonts w:ascii="Times New Roman" w:cs="Times New Roman" w:eastAsia="Times New Roman" w:hAnsi="Times New Roman"/>
          <w:sz w:val="11"/>
          <w:szCs w:val="11"/>
          <w:b w:val="1"/>
          <w:bCs w:val="1"/>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178040" cy="228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8040" cy="22860"/>
                    </a:xfrm>
                    <a:prstGeom prst="rect">
                      <a:avLst/>
                    </a:prstGeom>
                    <a:noFill/>
                  </pic:spPr>
                </pic:pic>
              </a:graphicData>
            </a:graphic>
          </wp:anchor>
        </w:drawing>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-728345</wp:posOffset>
            </wp:positionH>
            <wp:positionV relativeFrom="paragraph">
              <wp:posOffset>111760</wp:posOffset>
            </wp:positionV>
            <wp:extent cx="7218680" cy="42976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0" w:num="1">
            <w:col w:w="10160"/>
          </w:cols>
          <w:pgMar w:left="1440" w:top="224" w:right="299" w:bottom="1440"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3033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18680" cy="4303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35483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18680" cy="435483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1)"/>
      <w:numFmt w:val="lowerLetter"/>
      <w:start w:val="4"/>
    </w:lvl>
  </w:abstractNum>
  <w:abstractNum w:abstractNumId="2">
    <w:nsid w:val="5BD062C2"/>
    <w:multiLevelType w:val="hybridMultilevel"/>
    <w:lvl w:ilvl="0">
      <w:lvlJc w:val="left"/>
      <w:lvlText w:val="•"/>
      <w:numFmt w:val="bullet"/>
      <w:start w:val="1"/>
    </w:lvl>
  </w:abstractNum>
  <w:abstractNum w:abstractNumId="3">
    <w:nsid w:val="12200854"/>
    <w:multiLevelType w:val="hybridMultilevel"/>
    <w:lvl w:ilvl="0">
      <w:lvlJc w:val="left"/>
      <w:lvlText w:val="•"/>
      <w:numFmt w:val="bullet"/>
      <w:start w:val="1"/>
    </w:lvl>
  </w:abstractNum>
  <w:abstractNum w:abstractNumId="4">
    <w:nsid w:val="4DB127F8"/>
    <w:multiLevelType w:val="hybridMultilevel"/>
    <w:lvl w:ilvl="0">
      <w:lvlJc w:val="left"/>
      <w:lvlText w:val="(%1)"/>
      <w:numFmt w:val="decimal"/>
      <w:start w:val="1"/>
    </w:lvl>
  </w:abstractNum>
  <w:abstractNum w:abstractNumId="5">
    <w:nsid w:val="216231B"/>
    <w:multiLevelType w:val="hybridMultilevel"/>
    <w:lvl w:ilvl="0">
      <w:lvlJc w:val="left"/>
      <w:lvlText w:val="(%1)"/>
      <w:numFmt w:val="decimal"/>
      <w:start w:val="1"/>
    </w:lvl>
  </w:abstractNum>
  <w:abstractNum w:abstractNumId="6">
    <w:nsid w:val="1F16E9E8"/>
    <w:multiLevelType w:val="hybridMultilevel"/>
    <w:lvl w:ilvl="0">
      <w:lvlJc w:val="left"/>
      <w:lvlText w:val="(%1)"/>
      <w:numFmt w:val="decimal"/>
      <w:start w:val="1"/>
    </w:lvl>
  </w:abstractNum>
  <w:abstractNum w:abstractNumId="7">
    <w:nsid w:val="1190CDE7"/>
    <w:multiLevelType w:val="hybridMultilevel"/>
    <w:lvl w:ilvl="0">
      <w:lvlJc w:val="left"/>
      <w:lvlText w:val="(%1)"/>
      <w:numFmt w:val="decimal"/>
      <w:start w:val="1"/>
    </w:lvl>
  </w:abstractNum>
  <w:abstractNum w:abstractNumId="8">
    <w:nsid w:val="66EF438D"/>
    <w:multiLevelType w:val="hybridMultilevel"/>
    <w:lvl w:ilvl="0">
      <w:lvlJc w:val="left"/>
      <w:lvlText w:val="(%1)"/>
      <w:numFmt w:val="decimal"/>
      <w:start w:val="1"/>
    </w:lvl>
  </w:abstractNum>
  <w:abstractNum w:abstractNumId="9">
    <w:nsid w:val="140E0F76"/>
    <w:multiLevelType w:val="hybridMultilevel"/>
    <w:lvl w:ilvl="0">
      <w:lvlJc w:val="left"/>
      <w:lvlText w:val="(%1)"/>
      <w:numFmt w:val="decimal"/>
      <w:start w:val="1"/>
    </w:lvl>
  </w:abstractNum>
  <w:abstractNum w:abstractNumId="10">
    <w:nsid w:val="3352255A"/>
    <w:multiLevelType w:val="hybridMultilevel"/>
    <w:lvl w:ilvl="0">
      <w:lvlJc w:val="left"/>
      <w:lvlText w:val="(%1)"/>
      <w:numFmt w:val="decimal"/>
      <w:start w:val="1"/>
    </w:lvl>
  </w:abstractNum>
  <w:abstractNum w:abstractNumId="11">
    <w:nsid w:val="109CF92E"/>
    <w:multiLevelType w:val="hybridMultilevel"/>
    <w:lvl w:ilvl="0">
      <w:lvlJc w:val="left"/>
      <w:lvlText w:val="(%1)"/>
      <w:numFmt w:val="decimal"/>
      <w:start w:val="1"/>
    </w:lvl>
  </w:abstractNum>
  <w:abstractNum w:abstractNumId="12">
    <w:nsid w:val="DED7263"/>
    <w:multiLevelType w:val="hybridMultilevel"/>
    <w:lvl w:ilvl="0">
      <w:lvlJc w:val="left"/>
      <w:lvlText w:val="(%1)"/>
      <w:numFmt w:val="decimal"/>
      <w:start w:val="1"/>
    </w:lvl>
  </w:abstractNum>
  <w:abstractNum w:abstractNumId="13">
    <w:nsid w:val="7FDCC233"/>
    <w:multiLevelType w:val="hybridMultilevel"/>
    <w:lvl w:ilvl="0">
      <w:lvlJc w:val="left"/>
      <w:lvlText w:val="(%1)"/>
      <w:numFmt w:val="decimal"/>
      <w:start w:val="1"/>
    </w:lvl>
  </w:abstractNum>
  <w:abstractNum w:abstractNumId="14">
    <w:nsid w:val="1BEFD79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2026-04-02T06:32:45Z</dcterms:created>
  <dcterms:modified xsi:type="dcterms:W3CDTF">2026-04-02T06:32:45Z</dcterms:modified>
</cp:coreProperties>
</file>