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104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1040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Honroth Eric</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260" w:type="dxa"/>
            <w:vAlign w:val="bottom"/>
            <w:tcBorders>
              <w:top w:val="single" w:sz="8" w:color="0000EE"/>
              <w:bottom w:val="single" w:sz="8" w:color="9A9A9A"/>
            </w:tcBorders>
          </w:tcPr>
          <w:p>
            <w:pPr>
              <w:spacing w:after="0"/>
              <w:rPr>
                <w:sz w:val="17"/>
                <w:szCs w:val="17"/>
                <w:color w:val="auto"/>
              </w:rPr>
            </w:pPr>
          </w:p>
        </w:tc>
        <w:tc>
          <w:tcPr>
            <w:tcW w:w="18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11/02/2026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ANGIODYNAMICS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ANGO</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rPr>
          <w:sz w:val="20"/>
          <w:szCs w:val="20"/>
          <w:color w:val="auto"/>
        </w:rPr>
      </w:pPr>
      <w:r>
        <w:rPr>
          <w:rFonts w:ascii="Arial" w:cs="Arial" w:eastAsia="Arial" w:hAnsi="Arial"/>
          <w:sz w:val="15"/>
          <w:szCs w:val="15"/>
          <w:color w:val="auto"/>
        </w:rPr>
        <w:t>Foreign Trading Symbol</w:t>
      </w:r>
    </w:p>
    <w:p>
      <w:pPr>
        <w:spacing w:after="0" w:line="24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60" w:type="dxa"/>
            <w:vAlign w:val="bottom"/>
          </w:tcPr>
          <w:p>
            <w:pPr>
              <w:ind w:left="40"/>
              <w:spacing w:after="0"/>
              <w:rPr>
                <w:sz w:val="20"/>
                <w:szCs w:val="20"/>
                <w:color w:val="auto"/>
              </w:rPr>
            </w:pPr>
            <w:r>
              <w:rPr>
                <w:rFonts w:ascii="Arial" w:cs="Arial" w:eastAsia="Arial" w:hAnsi="Arial"/>
                <w:sz w:val="15"/>
                <w:szCs w:val="15"/>
                <w:color w:val="auto"/>
              </w:rPr>
              <w:t>(Last)</w:t>
            </w:r>
          </w:p>
        </w:tc>
        <w:tc>
          <w:tcPr>
            <w:tcW w:w="860" w:type="dxa"/>
            <w:vAlign w:val="bottom"/>
          </w:tcPr>
          <w:p>
            <w:pPr>
              <w:ind w:left="100"/>
              <w:spacing w:after="0"/>
              <w:rPr>
                <w:sz w:val="20"/>
                <w:szCs w:val="20"/>
                <w:color w:val="auto"/>
              </w:rPr>
            </w:pPr>
            <w:r>
              <w:rPr>
                <w:rFonts w:ascii="Arial" w:cs="Arial" w:eastAsia="Arial" w:hAnsi="Arial"/>
                <w:sz w:val="15"/>
                <w:szCs w:val="15"/>
                <w:color w:val="auto"/>
              </w:rPr>
              <w:t>(First)</w:t>
            </w:r>
          </w:p>
        </w:tc>
        <w:tc>
          <w:tcPr>
            <w:tcW w:w="1280" w:type="dxa"/>
            <w:vAlign w:val="bottom"/>
          </w:tcPr>
          <w:p>
            <w:pPr>
              <w:ind w:left="280"/>
              <w:spacing w:after="0"/>
              <w:rPr>
                <w:sz w:val="20"/>
                <w:szCs w:val="20"/>
                <w:color w:val="auto"/>
              </w:rPr>
            </w:pPr>
            <w:r>
              <w:rPr>
                <w:rFonts w:ascii="Arial" w:cs="Arial" w:eastAsia="Arial" w:hAnsi="Arial"/>
                <w:sz w:val="15"/>
                <w:szCs w:val="15"/>
                <w:color w:val="auto"/>
              </w:rPr>
              <w:t>(Middle)</w:t>
            </w:r>
          </w:p>
        </w:tc>
      </w:tr>
      <w:tr>
        <w:trPr>
          <w:trHeight w:val="310"/>
        </w:trPr>
        <w:tc>
          <w:tcPr>
            <w:tcW w:w="18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14 PLAZA DRIVE</w:t>
            </w:r>
          </w:p>
        </w:tc>
        <w:tc>
          <w:tcPr>
            <w:tcW w:w="1280" w:type="dxa"/>
            <w:vAlign w:val="bottom"/>
          </w:tcPr>
          <w:p>
            <w:pPr>
              <w:spacing w:after="0"/>
              <w:rPr>
                <w:sz w:val="24"/>
                <w:szCs w:val="24"/>
                <w:color w:val="auto"/>
              </w:rPr>
            </w:pPr>
          </w:p>
        </w:tc>
      </w:tr>
      <w:tr>
        <w:trPr>
          <w:trHeight w:val="237"/>
        </w:trPr>
        <w:tc>
          <w:tcPr>
            <w:tcW w:w="960" w:type="dxa"/>
            <w:vAlign w:val="bottom"/>
            <w:tcBorders>
              <w:bottom w:val="single" w:sz="8" w:color="9A9A9A"/>
            </w:tcBorders>
          </w:tcPr>
          <w:p>
            <w:pPr>
              <w:spacing w:after="0"/>
              <w:rPr>
                <w:sz w:val="20"/>
                <w:szCs w:val="20"/>
                <w:color w:val="auto"/>
              </w:rPr>
            </w:pPr>
          </w:p>
        </w:tc>
        <w:tc>
          <w:tcPr>
            <w:tcW w:w="860" w:type="dxa"/>
            <w:vAlign w:val="bottom"/>
            <w:tcBorders>
              <w:bottom w:val="single" w:sz="8" w:color="9A9A9A"/>
            </w:tcBorders>
          </w:tcPr>
          <w:p>
            <w:pPr>
              <w:spacing w:after="0"/>
              <w:rPr>
                <w:sz w:val="20"/>
                <w:szCs w:val="20"/>
                <w:color w:val="auto"/>
              </w:rPr>
            </w:pPr>
          </w:p>
        </w:tc>
        <w:tc>
          <w:tcPr>
            <w:tcW w:w="1280" w:type="dxa"/>
            <w:vAlign w:val="bottom"/>
            <w:tcBorders>
              <w:bottom w:val="single" w:sz="8" w:color="9A9A9A"/>
            </w:tcBorders>
          </w:tcPr>
          <w:p>
            <w:pPr>
              <w:spacing w:after="0"/>
              <w:rPr>
                <w:sz w:val="20"/>
                <w:szCs w:val="20"/>
                <w:color w:val="auto"/>
              </w:rPr>
            </w:pPr>
          </w:p>
        </w:tc>
      </w:tr>
      <w:tr>
        <w:trPr>
          <w:trHeight w:val="303"/>
        </w:trPr>
        <w:tc>
          <w:tcPr>
            <w:tcW w:w="960" w:type="dxa"/>
            <w:vAlign w:val="bottom"/>
          </w:tcPr>
          <w:p>
            <w:pPr>
              <w:spacing w:after="0"/>
              <w:rPr>
                <w:sz w:val="20"/>
                <w:szCs w:val="20"/>
                <w:color w:val="auto"/>
              </w:rPr>
            </w:pPr>
            <w:r>
              <w:rPr>
                <w:rFonts w:ascii="Arial" w:cs="Arial" w:eastAsia="Arial" w:hAnsi="Arial"/>
                <w:sz w:val="15"/>
                <w:szCs w:val="15"/>
                <w:color w:val="auto"/>
              </w:rPr>
              <w:t>(Street)</w:t>
            </w: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65"/>
        </w:trPr>
        <w:tc>
          <w:tcPr>
            <w:tcW w:w="9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LATHAM</w:t>
            </w:r>
          </w:p>
        </w:tc>
        <w:tc>
          <w:tcPr>
            <w:tcW w:w="86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NY</w:t>
            </w:r>
          </w:p>
        </w:tc>
        <w:tc>
          <w:tcPr>
            <w:tcW w:w="128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12110</w:t>
            </w:r>
          </w:p>
        </w:tc>
      </w:tr>
      <w:tr>
        <w:trPr>
          <w:trHeight w:val="177"/>
        </w:trPr>
        <w:tc>
          <w:tcPr>
            <w:tcW w:w="96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r>
      <w:tr>
        <w:trPr>
          <w:trHeight w:val="348"/>
        </w:trPr>
        <w:tc>
          <w:tcPr>
            <w:tcW w:w="960" w:type="dxa"/>
            <w:vAlign w:val="bottom"/>
          </w:tcPr>
          <w:p>
            <w:pPr>
              <w:ind w:left="40"/>
              <w:spacing w:after="0"/>
              <w:rPr>
                <w:sz w:val="20"/>
                <w:szCs w:val="20"/>
                <w:color w:val="auto"/>
              </w:rPr>
            </w:pPr>
            <w:r>
              <w:rPr>
                <w:rFonts w:ascii="Arial" w:cs="Arial" w:eastAsia="Arial" w:hAnsi="Arial"/>
                <w:sz w:val="15"/>
                <w:szCs w:val="15"/>
                <w:color w:val="auto"/>
              </w:rPr>
              <w:t>(City)</w:t>
            </w:r>
          </w:p>
        </w:tc>
        <w:tc>
          <w:tcPr>
            <w:tcW w:w="860" w:type="dxa"/>
            <w:vAlign w:val="bottom"/>
          </w:tcPr>
          <w:p>
            <w:pPr>
              <w:ind w:left="100"/>
              <w:spacing w:after="0"/>
              <w:rPr>
                <w:sz w:val="20"/>
                <w:szCs w:val="20"/>
                <w:color w:val="auto"/>
              </w:rPr>
            </w:pPr>
            <w:r>
              <w:rPr>
                <w:rFonts w:ascii="Arial" w:cs="Arial" w:eastAsia="Arial" w:hAnsi="Arial"/>
                <w:sz w:val="15"/>
                <w:szCs w:val="15"/>
                <w:color w:val="auto"/>
              </w:rPr>
              <w:t>(State)</w:t>
            </w:r>
          </w:p>
        </w:tc>
        <w:tc>
          <w:tcPr>
            <w:tcW w:w="1280" w:type="dxa"/>
            <w:vAlign w:val="bottom"/>
          </w:tcPr>
          <w:p>
            <w:pPr>
              <w:ind w:left="28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823"/>
        <w:spacing w:after="0"/>
        <w:rPr>
          <w:sz w:val="20"/>
          <w:szCs w:val="20"/>
          <w:color w:val="auto"/>
        </w:rPr>
      </w:pPr>
      <w:r>
        <w:rPr>
          <w:rFonts w:ascii="Times New Roman" w:cs="Times New Roman" w:eastAsia="Times New Roman" w:hAnsi="Times New Roman"/>
          <w:sz w:val="20"/>
          <w:szCs w:val="20"/>
          <w:color w:val="0000FF"/>
        </w:rPr>
        <w:t>President and CEO</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17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84"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32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660" w:type="dxa"/>
            <w:vAlign w:val="bottom"/>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500" w:type="dxa"/>
            <w:vAlign w:val="bottom"/>
            <w:gridSpan w:val="2"/>
            <w:vMerge w:val="restart"/>
          </w:tcPr>
          <w:p>
            <w:pPr>
              <w:jc w:val="right"/>
              <w:ind w:right="130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2"/>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140" w:type="dxa"/>
            <w:vAlign w:val="bottom"/>
          </w:tcPr>
          <w:p>
            <w:pPr>
              <w:ind w:left="40"/>
              <w:spacing w:after="0"/>
              <w:rPr>
                <w:sz w:val="20"/>
                <w:szCs w:val="20"/>
                <w:color w:val="auto"/>
              </w:rPr>
            </w:pPr>
            <w:r>
              <w:rPr>
                <w:rFonts w:ascii="Times New Roman" w:cs="Times New Roman" w:eastAsia="Times New Roman" w:hAnsi="Times New Roman"/>
                <w:sz w:val="15"/>
                <w:szCs w:val="15"/>
                <w:color w:val="008000"/>
              </w:rPr>
              <w:t>Exhibit List: Exhibit 24.1 - Power of Attorney</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20"/>
                <w:szCs w:val="20"/>
                <w:color w:val="0000FF"/>
                <w:w w:val="96"/>
              </w:rPr>
              <w:t>/s/ Eric Honroth</w:t>
            </w:r>
          </w:p>
        </w:tc>
        <w:tc>
          <w:tcPr>
            <w:tcW w:w="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180" w:type="dxa"/>
            <w:vAlign w:val="bottom"/>
            <w:gridSpan w:val="3"/>
          </w:tcPr>
          <w:p>
            <w:pPr>
              <w:jc w:val="right"/>
              <w:ind w:right="1300"/>
              <w:spacing w:after="0"/>
              <w:rPr>
                <w:sz w:val="20"/>
                <w:szCs w:val="20"/>
                <w:color w:val="auto"/>
              </w:rPr>
            </w:pPr>
            <w:r>
              <w:rPr>
                <w:rFonts w:ascii="Times New Roman" w:cs="Times New Roman" w:eastAsia="Times New Roman" w:hAnsi="Times New Roman"/>
                <w:sz w:val="20"/>
                <w:szCs w:val="20"/>
                <w:color w:val="0000FF"/>
                <w:w w:val="94"/>
              </w:rPr>
              <w:t>11/04/2026</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304800</wp:posOffset>
            </wp:positionH>
            <wp:positionV relativeFrom="page">
              <wp:posOffset>88900</wp:posOffset>
            </wp:positionV>
            <wp:extent cx="6946900"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38100"/>
                    </a:xfrm>
                    <a:prstGeom prst="rect">
                      <a:avLst/>
                    </a:prstGeom>
                    <a:noFill/>
                  </pic:spPr>
                </pic:pic>
              </a:graphicData>
            </a:graphic>
          </wp:anchor>
        </w:drawing>
        <w:t>Exhibit 24.1</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ind w:firstLine="720"/>
        <w:spacing w:after="0" w:line="282"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Lawrence T. Weiss, and with full power of substitution, the undersigned’s true and lawful attorney-in-fact to:</w:t>
      </w:r>
    </w:p>
    <w:p>
      <w:pPr>
        <w:spacing w:after="0" w:line="180" w:lineRule="exact"/>
        <w:rPr>
          <w:sz w:val="20"/>
          <w:szCs w:val="20"/>
          <w:color w:val="auto"/>
        </w:rPr>
      </w:pPr>
    </w:p>
    <w:p>
      <w:pPr>
        <w:ind w:left="1440" w:right="20" w:hanging="720"/>
        <w:spacing w:after="0" w:line="261" w:lineRule="auto"/>
        <w:tabs>
          <w:tab w:leader="none" w:pos="14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200" w:lineRule="exact"/>
        <w:rPr>
          <w:rFonts w:ascii="Times New Roman" w:cs="Times New Roman" w:eastAsia="Times New Roman" w:hAnsi="Times New Roman"/>
          <w:sz w:val="20"/>
          <w:szCs w:val="20"/>
          <w:color w:val="auto"/>
        </w:rPr>
      </w:pPr>
    </w:p>
    <w:p>
      <w:pPr>
        <w:ind w:left="1440" w:right="820" w:hanging="720"/>
        <w:spacing w:after="0" w:line="266" w:lineRule="auto"/>
        <w:tabs>
          <w:tab w:leader="none" w:pos="14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and/or director of AngioDynamics, Inc. (the “Company”), Forms 3, 4, and 5 in accordance with Section 16(a) of the Securities Exchange Act of 1934 and the rules thereunder;</w:t>
      </w:r>
    </w:p>
    <w:p>
      <w:pPr>
        <w:spacing w:after="0" w:line="195" w:lineRule="exact"/>
        <w:rPr>
          <w:rFonts w:ascii="Times New Roman" w:cs="Times New Roman" w:eastAsia="Times New Roman" w:hAnsi="Times New Roman"/>
          <w:sz w:val="20"/>
          <w:szCs w:val="20"/>
          <w:color w:val="auto"/>
        </w:rPr>
      </w:pPr>
    </w:p>
    <w:p>
      <w:pPr>
        <w:ind w:left="1440" w:right="40" w:hanging="720"/>
        <w:spacing w:after="0" w:line="266" w:lineRule="auto"/>
        <w:tabs>
          <w:tab w:leader="none" w:pos="14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195" w:lineRule="exact"/>
        <w:rPr>
          <w:rFonts w:ascii="Times New Roman" w:cs="Times New Roman" w:eastAsia="Times New Roman" w:hAnsi="Times New Roman"/>
          <w:sz w:val="20"/>
          <w:szCs w:val="20"/>
          <w:color w:val="auto"/>
        </w:rPr>
      </w:pPr>
    </w:p>
    <w:p>
      <w:pPr>
        <w:ind w:left="1440" w:right="20" w:hanging="720"/>
        <w:spacing w:after="0" w:line="258" w:lineRule="auto"/>
        <w:tabs>
          <w:tab w:leader="none" w:pos="14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5"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Securities Exchange Act of 1934.</w:t>
      </w:r>
    </w:p>
    <w:p>
      <w:pPr>
        <w:spacing w:after="0" w:line="210"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232410</wp:posOffset>
            </wp:positionV>
            <wp:extent cx="6946900"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175" w:right="479" w:bottom="1440" w:gutter="0" w:footer="0" w:header="0"/>
        </w:sectPr>
      </w:pPr>
    </w:p>
    <w:bookmarkStart w:id="2" w:name="page3"/>
    <w:bookmarkEnd w:id="2"/>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4</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0"/>
          <w:szCs w:val="20"/>
          <w:color w:val="auto"/>
        </w:rPr>
        <w:t xml:space="preserve"> day of November,</w:t>
      </w:r>
    </w:p>
    <w:p>
      <w:pPr>
        <w:spacing w:after="0"/>
        <w:rPr>
          <w:sz w:val="20"/>
          <w:szCs w:val="20"/>
          <w:color w:val="auto"/>
        </w:rPr>
      </w:pPr>
      <w:r>
        <w:rPr>
          <w:rFonts w:ascii="Times New Roman" w:cs="Times New Roman" w:eastAsia="Times New Roman" w:hAnsi="Times New Roman"/>
          <w:sz w:val="20"/>
          <w:szCs w:val="20"/>
          <w:color w:val="auto"/>
        </w:rPr>
        <w:t>2026.</w:t>
      </w:r>
    </w:p>
    <w:p>
      <w:pPr>
        <w:spacing w:after="0" w:line="27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/s/ Eric Honroth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28575</wp:posOffset>
            </wp:positionV>
            <wp:extent cx="346837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468370" cy="19050"/>
                    </a:xfrm>
                    <a:prstGeom prst="rect">
                      <a:avLst/>
                    </a:prstGeom>
                    <a:noFill/>
                  </pic:spPr>
                </pic:pic>
              </a:graphicData>
            </a:graphic>
          </wp:anchor>
        </w:drawing>
      </w:r>
    </w:p>
    <w:p>
      <w:pPr>
        <w:spacing w:after="0" w:line="8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20"/>
          <w:szCs w:val="20"/>
          <w:color w:val="auto"/>
        </w:rPr>
        <w:t>Eric Honroth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946900"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10940"/>
      </w:cols>
      <w:pgMar w:left="480" w:top="37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0" Type="http://schemas.openxmlformats.org/officeDocument/2006/relationships/hyperlink" Target="http://www.sec.gov/cgi-bin/browse-edgar?action=getcompany&amp;CIK=0002162813" TargetMode="External"/><Relationship Id="rId11" Type="http://schemas.openxmlformats.org/officeDocument/2006/relationships/hyperlink" Target="http://www.sec.gov/cgi-bin/browse-edgar?action=getcompany&amp;CIK=00012751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2026-11-04T17:53:44Z</dcterms:created>
  <dcterms:modified xsi:type="dcterms:W3CDTF">2026-11-04T17:53:44Z</dcterms:modified>
</cp:coreProperties>
</file>