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Weiss Lawrence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 PLAZA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ANGIODYNAMICS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LATHAM</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12110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10/21/2025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93,597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$11.71 to $11.90, inclusive. The reporting person has provided to AngioDynamics, Inc., and undertakes to provide to any security holder of AngioDynamics, Inc., or the staff of the Securities and Exchange Commission, upon request, full information regarding the number of shares purchased at each separate price within the range set forth in this footnote 1.</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Lawrence Weiss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293" TargetMode="External"/><Relationship Id="rId14"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2025-10-22T06:03:32Z</dcterms:created>
  <dcterms:modified xsi:type="dcterms:W3CDTF">2025-10-22T06:03:32Z</dcterms:modified>
</cp:coreProperties>
</file>