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AngioDynamics,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03475V101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03475V101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KEVIN KOTLER</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2,421,526.00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2,421,526.00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2,421,526.00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AngioDynamics,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 Plaza Drive, Latham, New York 12110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Kevin Kotler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Kevin Kotler c/o Broadfin Holdings, LLC 200 Broadhollow Road, Suite 207 Melville, New York 11747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03475V101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Kevin Kotler - 2,421,526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Kevin Kotler - 5.9%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Kevin Kotler - 2,421,526</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Kevin Kotler - 0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Kevin Kotler - 2,421,526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Kevin Kotler - 0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With the exception of the 313,495 shares of Common Stock, par value $.01, which are owned by Kevin Kotler in his individual capacity, all of the securities reported in this Schedule 13G are directly owned by accounts managed by Kevin Kotler. No such accounts may be deemed to beneficially own more than 5% of the Common Stock, par value $.01.</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800"/>
        <w:spacing w:after="0"/>
        <w:rPr>
          <w:sz w:val="20"/>
          <w:szCs w:val="20"/>
          <w:color w:val="auto"/>
        </w:rPr>
      </w:pPr>
      <w:r>
        <w:rPr>
          <w:rFonts w:ascii="Times New Roman" w:cs="Times New Roman" w:eastAsia="Times New Roman" w:hAnsi="Times New Roman"/>
          <w:sz w:val="22"/>
          <w:szCs w:val="22"/>
          <w:color w:val="auto"/>
        </w:rPr>
        <w:t>KEVIN KOTLER</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Kevin Kotler</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Kevin Kotler</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p>
      <w:pPr>
        <w:spacing w:after="0" w:line="3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The Reporting Person disclaims beneficial ownership of the reported securities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of his pecuniary interest therein, and this report shall not be deemed an admission that the Reporting Person is the beneficial owner of the securities for purposes of Section 16 of the Securities Exchange Act of 1934, as amended, or for any other purpose.</w:t>
      </w:r>
    </w:p>
    <w:sectPr>
      <w:pgSz w:w="11900" w:h="16838" w:orient="portrait"/>
      <w:cols w:equalWidth="0" w:num="1">
        <w:col w:w="11240"/>
      </w:cols>
      <w:pgMar w:left="320" w:top="1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2026-02-09T17:16:41Z</dcterms:created>
  <dcterms:modified xsi:type="dcterms:W3CDTF">2026-02-09T17:16:41Z</dcterms:modified>
</cp:coreProperties>
</file>