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Nighan Warren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ANGIODYNAMICS,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Quality and Regulatory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17,966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84,092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acquisition of 17,966 shares of common stock ("Common Stock") of AngioDynamics, Inc. represents 17,966 restricted stock units, each of which represents a contingent right to receive one share of Common Stock. These restricted stock units vest in four equal annual installments beginning on July 15, 2027, such that 25% of the restricted stock units will vest on each of July 15,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The target number of shares of Common Stock is set forth in columns 5 and 7 of Table II. Between 0% and 200% of the target number will be earned based on total shareholder return relative to a peer group of companies over a three-year performance period (with a potential upward or downward 20% adjustment on the calculated achievement based on total shareholder return relative to a peer group of companies over a three-year performance period (for a total potential payout of up to 240% of the target number in the aggregate)) in accordance with performance metrics as determined by the compensation committee. Any shares that do not vest at the end of the performance period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7345"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783</Words>
  <Characters>4151</Characters>
  <CharactersWithSpaces>4853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