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 Chad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 PLAZA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ANGIODYNAMICS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SVP/GM, Vascular Access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LATHAM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93,051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92,692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92,297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1,025 shares of common stock of AngioDynamics, Inc. ("AngioDynamics") was made to satisfy tax withholding obligations in connection with the pre-determined vesting of shares underlying restricted stock units granted to the reporting person on July 19,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359 shares of common stock of AngioDynamics was made to satisfy tax withholding obligations in connection with the pre-determined vesting of shares underlying restricted stock units granted to the reporting person on July 20, 2022.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395 shares of common stock of AngioDynamics was made to satisfy tax withholding obligations in connection with the pre-determined vesting of shares underlying restricted stock units granted to the reporting person on July 21, 2021.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Lawrence T. Weiss,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6852" TargetMode="External"/><Relationship Id="rId14" Type="http://schemas.openxmlformats.org/officeDocument/2006/relationships/hyperlink" Target="http://www.sec.gov/cgi-bin/browse-edgar?action=getcompany&amp;CIK=0001275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2025-07-22T17:26:06Z</dcterms:created>
  <dcterms:modified xsi:type="dcterms:W3CDTF">2025-07-22T17:26:06Z</dcterms:modified>
</cp:coreProperties>
</file>